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meridian-financial-advisory-pty-ltd"/>
    <w:p>
      <w:pPr>
        <w:pStyle w:val="Heading1"/>
      </w:pPr>
      <w:r>
        <w:t xml:space="preserve">Meridian Financial Advisory Pty Ltd</w:t>
      </w:r>
    </w:p>
    <w:p>
      <w:pPr>
        <w:pStyle w:val="FirstParagraph"/>
      </w:pPr>
      <w:r>
        <w:t xml:space="preserve">Level 12, 333 Collins Street</w:t>
      </w:r>
    </w:p>
    <w:p>
      <w:pPr>
        <w:pStyle w:val="BodyText"/>
      </w:pPr>
      <w:r>
        <w:t xml:space="preserve">Melbourne, Victoria 3000</w:t>
      </w:r>
    </w:p>
    <w:p>
      <w:pPr>
        <w:pStyle w:val="BodyText"/>
      </w:pPr>
      <w:r>
        <w:t xml:space="preserve">Australia Melbourne</w:t>
      </w:r>
    </w:p>
    <w:p>
      <w:pPr>
        <w:pStyle w:val="BodyText"/>
      </w:pPr>
      <w:r>
        <w:t xml:space="preserve">ABN: 48 215 673 901</w:t>
      </w:r>
    </w:p>
    <w:p>
      <w:pPr>
        <w:pStyle w:val="BodyText"/>
      </w:pPr>
      <w:r>
        <w:t xml:space="preserve">Phone: +61 3 9421 5500</w:t>
      </w:r>
    </w:p>
    <w:p>
      <w:pPr>
        <w:pStyle w:val="BodyText"/>
      </w:pPr>
      <w:r>
        <w:t xml:space="preserve">Email: billing@meridianfinancial.com.au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MFA-2025-0487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14 Days</w:t>
      </w:r>
    </w:p>
    <w:bookmarkEnd w:id="21"/>
    <w:bookmarkStart w:id="22" w:name="bill-to"/>
    <w:p>
      <w:pPr>
        <w:pStyle w:val="Heading3"/>
      </w:pPr>
      <w:r>
        <w:t xml:space="preserve">Bill To</w:t>
      </w:r>
    </w:p>
    <w:p>
      <w:pPr>
        <w:pStyle w:val="FirstParagraph"/>
      </w:pPr>
      <w:r>
        <w:rPr>
          <w:bCs/>
          <w:b/>
        </w:rPr>
        <w:t xml:space="preserve">Harbourview Logistics Group Ltd</w:t>
      </w:r>
    </w:p>
    <w:p>
      <w:pPr>
        <w:pStyle w:val="BodyText"/>
      </w:pPr>
      <w:r>
        <w:t xml:space="preserve">Attn: Mr. David Chen, Chief Financial Officer</w:t>
      </w:r>
    </w:p>
    <w:p>
      <w:pPr>
        <w:pStyle w:val="BodyText"/>
      </w:pPr>
      <w:r>
        <w:t xml:space="preserve">Unit 5, 88 Swanston Street</w:t>
      </w:r>
    </w:p>
    <w:p>
      <w:pPr>
        <w:pStyle w:val="BodyText"/>
      </w:pPr>
      <w:r>
        <w:t xml:space="preserve">Melbourne, Victoria 3000</w:t>
      </w:r>
    </w:p>
    <w:p>
      <w:pPr>
        <w:pStyle w:val="BodyText"/>
      </w:pPr>
      <w:r>
        <w:t xml:space="preserve">Australia Melbourne</w:t>
      </w:r>
    </w:p>
    <w:p>
      <w:pPr>
        <w:pStyle w:val="BodyText"/>
      </w:pPr>
      <w:r>
        <w:t xml:space="preserve">ABN: 12 987 654 321</w:t>
      </w:r>
    </w:p>
    <w:p>
      <w:pPr>
        <w:pStyle w:val="BodyText"/>
      </w:pPr>
      <w:r>
        <w:t xml:space="preserve">Email: d.chen@harbourviewlogistics.com.au</w:t>
      </w:r>
    </w:p>
    <w:bookmarkEnd w:id="22"/>
    <w:bookmarkStart w:id="23" w:name="service-provider"/>
    <w:p>
      <w:pPr>
        <w:pStyle w:val="Heading3"/>
      </w:pPr>
      <w:r>
        <w:t xml:space="preserve">Service Provider</w:t>
      </w:r>
    </w:p>
    <w:p>
      <w:pPr>
        <w:pStyle w:val="FirstParagraph"/>
      </w:pPr>
      <w:r>
        <w:rPr>
          <w:bCs/>
          <w:b/>
        </w:rPr>
        <w:t xml:space="preserve">Meridian Financial Advisory Pty Ltd</w:t>
      </w:r>
    </w:p>
    <w:p>
      <w:pPr>
        <w:pStyle w:val="BodyText"/>
      </w:pPr>
      <w:r>
        <w:t xml:space="preserve">Lead Financial Analyst: Sarah Mitchell, CPA</w:t>
      </w:r>
    </w:p>
    <w:p>
      <w:pPr>
        <w:pStyle w:val="BodyText"/>
      </w:pPr>
      <w:r>
        <w:t xml:space="preserve">Engagement Reference: HLG-FA-2025-Q2</w:t>
      </w:r>
    </w:p>
    <w:p>
      <w:pPr>
        <w:pStyle w:val="BodyText"/>
      </w:pPr>
      <w:r>
        <w:t xml:space="preserve">Project: Quarterly Financial Analysis &amp; Reporting</w:t>
      </w:r>
    </w:p>
    <w:p>
      <w:pPr>
        <w:pStyle w:val="BodyText"/>
      </w:pPr>
      <w:r>
        <w:t xml:space="preserve">Location: Australia Melbourne</w:t>
      </w:r>
    </w:p>
    <w:p>
      <w:pPr>
        <w:pStyle w:val="BodyText"/>
      </w:pPr>
      <w:r>
        <w:t xml:space="preserve">Contract Period: 1 April 2025 – 30 June 2025</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Financial Analyst Services</w:t>
            </w:r>
          </w:p>
        </w:tc>
        <w:tc>
          <w:tcPr/>
          <w:p>
            <w:pPr>
              <w:pStyle w:val="Compact"/>
              <w:jc w:val="left"/>
            </w:pPr>
            <w:r>
              <w:t xml:space="preserve">Rate (AUD)</w:t>
            </w:r>
          </w:p>
        </w:tc>
        <w:tc>
          <w:tcPr/>
          <w:p>
            <w:pPr>
              <w:pStyle w:val="Compact"/>
              <w:jc w:val="left"/>
            </w:pPr>
            <w:r>
              <w:t xml:space="preserve">Hours</w:t>
            </w:r>
          </w:p>
        </w:tc>
        <w:tc>
          <w:tcPr/>
          <w:p>
            <w:pPr>
              <w:pStyle w:val="Compact"/>
              <w:jc w:val="left"/>
            </w:pPr>
            <w:r>
              <w:t xml:space="preserve">Amount (AUD)</w:t>
            </w:r>
          </w:p>
        </w:tc>
        <w:tc>
          <w:tcPr/>
          <w:p>
            <w:pPr>
              <w:pStyle w:val="Compact"/>
              <w:jc w:val="left"/>
            </w:pPr>
            <w:r>
              <w:t xml:space="preserve">GST (10%)</w:t>
            </w:r>
          </w:p>
        </w:tc>
      </w:tr>
      <w:tr>
        <w:tc>
          <w:tcPr/>
          <w:p>
            <w:pPr>
              <w:pStyle w:val="Compact"/>
              <w:jc w:val="left"/>
            </w:pPr>
            <w:r>
              <w:t xml:space="preserve">1</w:t>
            </w:r>
          </w:p>
        </w:tc>
        <w:tc>
          <w:tcPr/>
          <w:p>
            <w:pPr>
              <w:pStyle w:val="Compact"/>
              <w:jc w:val="left"/>
            </w:pPr>
            <w:r>
              <w:rPr>
                <w:bCs/>
                <w:b/>
              </w:rPr>
              <w:t xml:space="preserve">Quarterly Financial Statement Analysis</w:t>
            </w:r>
          </w:p>
          <w:p>
            <w:pPr>
              <w:jc w:val="left"/>
            </w:pPr>
            <w:r>
              <w:t xml:space="preserve">Comprehensive review and analysis of Q2 2025 financial statements including income statement, balance sheet, and cash flow statement prepared in accordance with Australian Accounting Standards (AASB). Performed by senior Financial Analyst Sarah Mitchell in Melbourne, Australia.</w:t>
            </w:r>
          </w:p>
        </w:tc>
        <w:tc>
          <w:tcPr/>
          <w:p>
            <w:pPr>
              <w:pStyle w:val="Compact"/>
              <w:jc w:val="left"/>
            </w:pPr>
            <w:r>
              <w:t xml:space="preserve">$285.00</w:t>
            </w:r>
          </w:p>
        </w:tc>
        <w:tc>
          <w:tcPr/>
          <w:p>
            <w:pPr>
              <w:pStyle w:val="Compact"/>
              <w:jc w:val="left"/>
            </w:pPr>
            <w:r>
              <w:t xml:space="preserve">32</w:t>
            </w:r>
          </w:p>
        </w:tc>
        <w:tc>
          <w:tcPr/>
          <w:p>
            <w:pPr>
              <w:pStyle w:val="Compact"/>
              <w:jc w:val="left"/>
            </w:pPr>
            <w:r>
              <w:t xml:space="preserve">$9,120.00</w:t>
            </w:r>
          </w:p>
        </w:tc>
        <w:tc>
          <w:tcPr/>
          <w:p>
            <w:pPr>
              <w:pStyle w:val="Compact"/>
              <w:jc w:val="left"/>
            </w:pPr>
            <w:r>
              <w:t xml:space="preserve">$912.00</w:t>
            </w:r>
          </w:p>
        </w:tc>
      </w:tr>
      <w:tr>
        <w:tc>
          <w:tcPr/>
          <w:p>
            <w:pPr>
              <w:pStyle w:val="Compact"/>
              <w:jc w:val="left"/>
            </w:pPr>
            <w:r>
              <w:t xml:space="preserve">2</w:t>
            </w:r>
          </w:p>
        </w:tc>
        <w:tc>
          <w:tcPr/>
          <w:p>
            <w:pPr>
              <w:pStyle w:val="Compact"/>
              <w:jc w:val="left"/>
            </w:pPr>
            <w:r>
              <w:rPr>
                <w:bCs/>
                <w:b/>
              </w:rPr>
              <w:t xml:space="preserve">Financial Modelling &amp; Forecasting</w:t>
            </w:r>
          </w:p>
          <w:p>
            <w:pPr>
              <w:jc w:val="left"/>
            </w:pPr>
            <w:r>
              <w:t xml:space="preserve">Development of a 12-month financial projection model incorporating revenue forecasts, cost structure analysis, and capital expenditure planning. The Financial Analyst team conducted scenario analysis including base, optimistic, and conservative projections for the Australia Melbourne market conditions.</w:t>
            </w:r>
          </w:p>
        </w:tc>
        <w:tc>
          <w:tcPr/>
          <w:p>
            <w:pPr>
              <w:pStyle w:val="Compact"/>
              <w:jc w:val="left"/>
            </w:pPr>
            <w:r>
              <w:t xml:space="preserve">$310.00</w:t>
            </w:r>
          </w:p>
        </w:tc>
        <w:tc>
          <w:tcPr/>
          <w:p>
            <w:pPr>
              <w:pStyle w:val="Compact"/>
              <w:jc w:val="left"/>
            </w:pPr>
            <w:r>
              <w:t xml:space="preserve">40</w:t>
            </w:r>
          </w:p>
        </w:tc>
        <w:tc>
          <w:tcPr/>
          <w:p>
            <w:pPr>
              <w:pStyle w:val="Compact"/>
              <w:jc w:val="left"/>
            </w:pPr>
            <w:r>
              <w:t xml:space="preserve">$12,400.00</w:t>
            </w:r>
          </w:p>
        </w:tc>
        <w:tc>
          <w:tcPr/>
          <w:p>
            <w:pPr>
              <w:pStyle w:val="Compact"/>
              <w:jc w:val="left"/>
            </w:pPr>
            <w:r>
              <w:t xml:space="preserve">$1,240.00</w:t>
            </w:r>
          </w:p>
        </w:tc>
      </w:tr>
      <w:tr>
        <w:tc>
          <w:tcPr/>
          <w:p>
            <w:pPr>
              <w:pStyle w:val="Compact"/>
              <w:jc w:val="left"/>
            </w:pPr>
            <w:r>
              <w:t xml:space="preserve">3</w:t>
            </w:r>
          </w:p>
        </w:tc>
        <w:tc>
          <w:tcPr/>
          <w:p>
            <w:pPr>
              <w:pStyle w:val="Compact"/>
              <w:jc w:val="left"/>
            </w:pPr>
            <w:r>
              <w:rPr>
                <w:bCs/>
                <w:b/>
              </w:rPr>
              <w:t xml:space="preserve">Variance Analysis &amp; Budget Reconciliation</w:t>
            </w:r>
          </w:p>
          <w:p>
            <w:pPr>
              <w:jc w:val="left"/>
            </w:pPr>
            <w:r>
              <w:t xml:space="preserve">Detailed variance analysis comparing actual Q2 performance against approved budget. The Financial Analyst identified key cost overruns in logistics operations and provided corrective recommendations. All analysis conducted in compliance with Australian tax and reporting obligations.</w:t>
            </w:r>
          </w:p>
        </w:tc>
        <w:tc>
          <w:tcPr/>
          <w:p>
            <w:pPr>
              <w:pStyle w:val="Compact"/>
              <w:jc w:val="left"/>
            </w:pPr>
            <w:r>
              <w:t xml:space="preserve">$265.00</w:t>
            </w:r>
          </w:p>
        </w:tc>
        <w:tc>
          <w:tcPr/>
          <w:p>
            <w:pPr>
              <w:pStyle w:val="Compact"/>
              <w:jc w:val="left"/>
            </w:pPr>
            <w:r>
              <w:t xml:space="preserve">24</w:t>
            </w:r>
          </w:p>
        </w:tc>
        <w:tc>
          <w:tcPr/>
          <w:p>
            <w:pPr>
              <w:pStyle w:val="Compact"/>
              <w:jc w:val="left"/>
            </w:pPr>
            <w:r>
              <w:t xml:space="preserve">$6,360.00</w:t>
            </w:r>
          </w:p>
        </w:tc>
        <w:tc>
          <w:tcPr/>
          <w:p>
            <w:pPr>
              <w:pStyle w:val="Compact"/>
              <w:jc w:val="left"/>
            </w:pPr>
            <w:r>
              <w:t xml:space="preserve">$636.00</w:t>
            </w:r>
          </w:p>
        </w:tc>
      </w:tr>
      <w:tr>
        <w:tc>
          <w:tcPr/>
          <w:p>
            <w:pPr>
              <w:pStyle w:val="Compact"/>
              <w:jc w:val="left"/>
            </w:pPr>
            <w:r>
              <w:t xml:space="preserve">4</w:t>
            </w:r>
          </w:p>
        </w:tc>
        <w:tc>
          <w:tcPr/>
          <w:p>
            <w:pPr>
              <w:pStyle w:val="Compact"/>
              <w:jc w:val="left"/>
            </w:pPr>
            <w:r>
              <w:rPr>
                <w:bCs/>
                <w:b/>
              </w:rPr>
              <w:t xml:space="preserve">Investment Portfolio Performance Review</w:t>
            </w:r>
          </w:p>
          <w:p>
            <w:pPr>
              <w:jc w:val="left"/>
            </w:pPr>
            <w:r>
              <w:t xml:space="preserve">Assessment of current investment portfolio performance against benchmark indices. The Financial Analyst prepared a detailed report on asset allocation efficiency, risk-adjusted returns, and rebalancing recommendations tailored to the Australia Melbourne economic outlook.</w:t>
            </w:r>
          </w:p>
        </w:tc>
        <w:tc>
          <w:tcPr/>
          <w:p>
            <w:pPr>
              <w:pStyle w:val="Compact"/>
              <w:jc w:val="left"/>
            </w:pPr>
            <w:r>
              <w:t xml:space="preserve">$295.00</w:t>
            </w:r>
          </w:p>
        </w:tc>
        <w:tc>
          <w:tcPr/>
          <w:p>
            <w:pPr>
              <w:pStyle w:val="Compact"/>
              <w:jc w:val="left"/>
            </w:pPr>
            <w:r>
              <w:t xml:space="preserve">20</w:t>
            </w:r>
          </w:p>
        </w:tc>
        <w:tc>
          <w:tcPr/>
          <w:p>
            <w:pPr>
              <w:pStyle w:val="Compact"/>
              <w:jc w:val="left"/>
            </w:pPr>
            <w:r>
              <w:t xml:space="preserve">$5,900.00</w:t>
            </w:r>
          </w:p>
        </w:tc>
        <w:tc>
          <w:tcPr/>
          <w:p>
            <w:pPr>
              <w:pStyle w:val="Compact"/>
              <w:jc w:val="left"/>
            </w:pPr>
            <w:r>
              <w:t xml:space="preserve">$590.00</w:t>
            </w:r>
          </w:p>
        </w:tc>
      </w:tr>
      <w:tr>
        <w:tc>
          <w:tcPr/>
          <w:p>
            <w:pPr>
              <w:pStyle w:val="Compact"/>
              <w:jc w:val="left"/>
            </w:pPr>
            <w:r>
              <w:t xml:space="preserve">5</w:t>
            </w:r>
          </w:p>
        </w:tc>
        <w:tc>
          <w:tcPr/>
          <w:p>
            <w:pPr>
              <w:pStyle w:val="Compact"/>
              <w:jc w:val="left"/>
            </w:pPr>
            <w:r>
              <w:rPr>
                <w:bCs/>
                <w:b/>
              </w:rPr>
              <w:t xml:space="preserve">Regulatory Compliance &amp; Tax Advisory Support</w:t>
            </w:r>
          </w:p>
          <w:p>
            <w:pPr>
              <w:jc w:val="left"/>
            </w:pPr>
            <w:r>
              <w:t xml:space="preserve">Review of financial reporting compliance with ASIC regulations and Australian Taxation Office requirements. The Financial Analyst ensured all disclosures met the standards applicable to entities operating in Australia Melbourne and provided advisory notes for the upcoming annual filing.</w:t>
            </w:r>
          </w:p>
        </w:tc>
        <w:tc>
          <w:tcPr/>
          <w:p>
            <w:pPr>
              <w:pStyle w:val="Compact"/>
              <w:jc w:val="left"/>
            </w:pPr>
            <w:r>
              <w:t xml:space="preserve">$275.00</w:t>
            </w:r>
          </w:p>
        </w:tc>
        <w:tc>
          <w:tcPr/>
          <w:p>
            <w:pPr>
              <w:pStyle w:val="Compact"/>
              <w:jc w:val="left"/>
            </w:pPr>
            <w:r>
              <w:t xml:space="preserve">16</w:t>
            </w:r>
          </w:p>
        </w:tc>
        <w:tc>
          <w:tcPr/>
          <w:p>
            <w:pPr>
              <w:pStyle w:val="Compact"/>
              <w:jc w:val="left"/>
            </w:pPr>
            <w:r>
              <w:t xml:space="preserve">$4,400.00</w:t>
            </w:r>
          </w:p>
        </w:tc>
        <w:tc>
          <w:tcPr/>
          <w:p>
            <w:pPr>
              <w:pStyle w:val="Compact"/>
              <w:jc w:val="left"/>
            </w:pPr>
            <w:r>
              <w:t xml:space="preserve">$440.00</w:t>
            </w:r>
          </w:p>
        </w:tc>
      </w:tr>
      <w:tr>
        <w:tc>
          <w:tcPr/>
          <w:p>
            <w:pPr>
              <w:pStyle w:val="Compact"/>
              <w:jc w:val="left"/>
            </w:pPr>
            <w:r>
              <w:t xml:space="preserve">6</w:t>
            </w:r>
          </w:p>
        </w:tc>
        <w:tc>
          <w:tcPr/>
          <w:p>
            <w:pPr>
              <w:pStyle w:val="Compact"/>
              <w:jc w:val="left"/>
            </w:pPr>
            <w:r>
              <w:rPr>
                <w:bCs/>
                <w:b/>
              </w:rPr>
              <w:t xml:space="preserve">Board Presentation &amp; Executive Briefing</w:t>
            </w:r>
          </w:p>
          <w:p>
            <w:pPr>
              <w:jc w:val="left"/>
            </w:pPr>
            <w:r>
              <w:t xml:space="preserve">Preparation and delivery of a comprehensive financial briefing to the Harbourview Logistics Group board of directors. The Financial Analyst presented key performance indicators, risk assessments, and strategic financial recommendations in a formal session held in Melbourne, Australia.</w:t>
            </w:r>
          </w:p>
        </w:tc>
        <w:tc>
          <w:tcPr/>
          <w:p>
            <w:pPr>
              <w:pStyle w:val="Compact"/>
              <w:jc w:val="left"/>
            </w:pPr>
            <w:r>
              <w:t xml:space="preserve">$350.00</w:t>
            </w:r>
          </w:p>
        </w:tc>
        <w:tc>
          <w:tcPr/>
          <w:p>
            <w:pPr>
              <w:pStyle w:val="Compact"/>
              <w:jc w:val="left"/>
            </w:pPr>
            <w:r>
              <w:t xml:space="preserve">8</w:t>
            </w:r>
          </w:p>
        </w:tc>
        <w:tc>
          <w:tcPr/>
          <w:p>
            <w:pPr>
              <w:pStyle w:val="Compact"/>
              <w:jc w:val="left"/>
            </w:pPr>
            <w:r>
              <w:t xml:space="preserve">$2,800.00</w:t>
            </w:r>
          </w:p>
        </w:tc>
        <w:tc>
          <w:tcPr/>
          <w:p>
            <w:pPr>
              <w:pStyle w:val="Compact"/>
              <w:jc w:val="left"/>
            </w:pPr>
            <w:r>
              <w:t xml:space="preserve">$280.00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$40,980.00</w:t>
            </w:r>
          </w:p>
        </w:tc>
      </w:tr>
      <w:tr>
        <w:tc>
          <w:tcPr/>
          <w:p>
            <w:pPr>
              <w:pStyle w:val="Compact"/>
              <w:jc w:val="left"/>
            </w:pPr>
            <w:r>
              <w:t xml:space="preserve">GST (10%)</w:t>
            </w:r>
          </w:p>
        </w:tc>
        <w:tc>
          <w:tcPr/>
          <w:p>
            <w:pPr>
              <w:pStyle w:val="Compact"/>
              <w:jc w:val="left"/>
            </w:pPr>
            <w:r>
              <w:t xml:space="preserve">$4,098.00</w:t>
            </w:r>
          </w:p>
        </w:tc>
      </w:tr>
      <w:tr>
        <w:tc>
          <w:tcPr/>
          <w:p>
            <w:pPr>
              <w:pStyle w:val="Compact"/>
              <w:jc w:val="left"/>
            </w:pPr>
            <w:r>
              <w:t xml:space="preserve">Discount (Early Payment – 2%)</w:t>
            </w:r>
          </w:p>
        </w:tc>
        <w:tc>
          <w:tcPr/>
          <w:p>
            <w:pPr>
              <w:pStyle w:val="Compact"/>
              <w:jc w:val="left"/>
            </w:pPr>
            <w:r>
              <w:t xml:space="preserve">($819.60)</w:t>
            </w:r>
          </w:p>
        </w:tc>
      </w:tr>
      <w:tr>
        <w:tc>
          <w:tcPr/>
          <w:p>
            <w:pPr>
              <w:pStyle w:val="Compact"/>
              <w:jc w:val="left"/>
            </w:pPr>
            <w:r>
              <w:t xml:space="preserve">Grand Total (Incl. GST)</w:t>
            </w:r>
          </w:p>
        </w:tc>
        <w:tc>
          <w:tcPr/>
          <w:p>
            <w:pPr>
              <w:pStyle w:val="Compact"/>
              <w:jc w:val="left"/>
            </w:pPr>
            <w:r>
              <w:t xml:space="preserve">$44,258.40</w:t>
            </w:r>
          </w:p>
        </w:tc>
      </w:tr>
    </w:tbl>
    <w:bookmarkStart w:id="24" w:name="invoice-notes-terms"/>
    <w:p>
      <w:pPr>
        <w:pStyle w:val="Heading3"/>
      </w:pPr>
      <w:r>
        <w:t xml:space="preserve">Invoice Notes &amp; Terms</w:t>
      </w:r>
    </w:p>
    <w:p>
      <w:pPr>
        <w:pStyle w:val="FirstParagraph"/>
      </w:pPr>
      <w:r>
        <w:t xml:space="preserve">This Invoice has been issued by Meridian Financial Advisory Pty Ltd, a registered company in Australia Melbourne, in accordance with the professional services agreement dated 28 March 2025 between the parties. All Financial Analyst services rendered under this engagement were performed in Melbourne, Victoria, Australia, and are subject to the Australian Goods and Services Tax (GST) at the current rate of 10%.</w:t>
      </w:r>
    </w:p>
    <w:p>
      <w:pPr>
        <w:pStyle w:val="BodyText"/>
      </w:pPr>
      <w:r>
        <w:t xml:space="preserve">The Financial Analyst team confirms that all work product, including financial models, analytical reports, and advisory documentation, has been prepared in strict compliance with the Australian Securities and Investments Commission (ASIC) guidelines and the Australian Accounting Standards Board (AASB) requirements applicable to entities operating in Australia Melbourne.</w:t>
      </w:r>
    </w:p>
    <w:p>
      <w:pPr>
        <w:pStyle w:val="BodyText"/>
      </w:pPr>
      <w:r>
        <w:t xml:space="preserve">Payment is due within fourteen (14) calendar days from the Invoice date. A 2% early payment discount applies if the full amount is received within seven (7) days of this Invoice. Late payments will incur interest at the rate prescribed under the Australian Consumer Law. Please reference Invoice number MFA-2025-0487 in all correspondence and remittances.</w:t>
      </w:r>
    </w:p>
    <w:p>
      <w:pPr>
        <w:pStyle w:val="BodyText"/>
      </w:pPr>
      <w:r>
        <w:t xml:space="preserve">This Invoice constitutes a tax invoice as defined under the A New Tax System (Goods and Services Tax) Act 1999 (Cth). Retain this document for your records in accordance with Australian tax retention requirements.</w:t>
      </w:r>
    </w:p>
    <w:bookmarkEnd w:id="24"/>
    <w:bookmarkStart w:id="25" w:name="payment-details-australia-melbourne"/>
    <w:p>
      <w:pPr>
        <w:pStyle w:val="Heading3"/>
      </w:pPr>
      <w:r>
        <w:t xml:space="preserve">Payment Details – Australia Melbourne</w:t>
      </w:r>
    </w:p>
    <w:p>
      <w:pPr>
        <w:pStyle w:val="FirstParagraph"/>
      </w:pPr>
      <w:r>
        <w:rPr>
          <w:bCs/>
          <w:b/>
        </w:rPr>
        <w:t xml:space="preserve">Bank:</w:t>
      </w:r>
      <w:r>
        <w:t xml:space="preserve"> </w:t>
      </w:r>
      <w:r>
        <w:t xml:space="preserve">National Australia Bank (NAB)</w:t>
      </w:r>
    </w:p>
    <w:p>
      <w:pPr>
        <w:pStyle w:val="BodyText"/>
      </w:pPr>
      <w:r>
        <w:rPr>
          <w:bCs/>
          <w:b/>
        </w:rPr>
        <w:t xml:space="preserve">Account Name:</w:t>
      </w:r>
      <w:r>
        <w:t xml:space="preserve"> </w:t>
      </w:r>
      <w:r>
        <w:t xml:space="preserve">Meridian Financial Advisory Pty Ltd</w:t>
      </w:r>
    </w:p>
    <w:p>
      <w:pPr>
        <w:pStyle w:val="BodyText"/>
      </w:pPr>
      <w:r>
        <w:rPr>
          <w:bCs/>
          <w:b/>
        </w:rPr>
        <w:t xml:space="preserve">BSB:</w:t>
      </w:r>
      <w:r>
        <w:t xml:space="preserve"> </w:t>
      </w:r>
      <w:r>
        <w:t xml:space="preserve">082-001</w:t>
      </w:r>
    </w:p>
    <w:p>
      <w:pPr>
        <w:pStyle w:val="BodyText"/>
      </w:pPr>
      <w:r>
        <w:rPr>
          <w:bCs/>
          <w:b/>
        </w:rPr>
        <w:t xml:space="preserve">Account Number:</w:t>
      </w:r>
      <w:r>
        <w:t xml:space="preserve"> </w:t>
      </w:r>
      <w:r>
        <w:t xml:space="preserve">1234 5678</w:t>
      </w:r>
    </w:p>
    <w:p>
      <w:pPr>
        <w:pStyle w:val="BodyText"/>
      </w:pPr>
      <w:r>
        <w:rPr>
          <w:bCs/>
          <w:b/>
        </w:rPr>
        <w:t xml:space="preserve">SWIFT/BIC:</w:t>
      </w:r>
      <w:r>
        <w:t xml:space="preserve"> </w:t>
      </w:r>
      <w:r>
        <w:t xml:space="preserve">AUBKAU2S</w:t>
      </w:r>
    </w:p>
    <w:p>
      <w:pPr>
        <w:pStyle w:val="BodyText"/>
      </w:pPr>
      <w:r>
        <w:rPr>
          <w:bCs/>
          <w:b/>
        </w:rPr>
        <w:t xml:space="preserve">Reference:</w:t>
      </w:r>
      <w:r>
        <w:t xml:space="preserve"> </w:t>
      </w:r>
      <w:r>
        <w:t xml:space="preserve">MFA-2025-0487</w:t>
      </w:r>
    </w:p>
    <w:p>
      <w:pPr>
        <w:pStyle w:val="BodyText"/>
      </w:pPr>
      <w:r>
        <w:rPr>
          <w:bCs/>
          <w:b/>
        </w:rPr>
        <w:t xml:space="preserve">Address:</w:t>
      </w:r>
      <w:r>
        <w:t xml:space="preserve"> </w:t>
      </w:r>
      <w:r>
        <w:t xml:space="preserve">Level 12, 333 Collins Street, Melbourne, Victoria 3000, Australia Melbourne</w:t>
      </w:r>
    </w:p>
    <w:p>
      <w:pPr>
        <w:pStyle w:val="BodyText"/>
      </w:pPr>
      <w:r>
        <w:t xml:space="preserve">For electronic transfers, please use the BSB and account number above. For international payments, include the SWIFT code and reference number. All payments should be made in Australian Dollars (AUD).</w:t>
      </w:r>
    </w:p>
    <w:bookmarkEnd w:id="25"/>
    <w:p>
      <w:pPr>
        <w:pStyle w:val="BodyText"/>
      </w:pPr>
      <w:r>
        <w:rPr>
          <w:bCs/>
          <w:b/>
        </w:rPr>
        <w:t xml:space="preserve">Meridian Financial Advisory Pty Ltd</w:t>
      </w:r>
      <w:r>
        <w:t xml:space="preserve"> </w:t>
      </w:r>
      <w:r>
        <w:t xml:space="preserve">| ABN 48 215 673 901 | Australia Melbourne</w:t>
      </w:r>
    </w:p>
    <w:p>
      <w:pPr>
        <w:pStyle w:val="BodyText"/>
      </w:pPr>
      <w:r>
        <w:t xml:space="preserve">This Invoice was generated electronically and is valid without a physical signature.</w:t>
      </w:r>
    </w:p>
    <w:p>
      <w:pPr>
        <w:pStyle w:val="BodyText"/>
      </w:pPr>
      <w:r>
        <w:t xml:space="preserve">For queries regarding this Invoice, please contact our billing department at billing@meridianfinancial.com.au or +61 3 9421 5500.</w:t>
      </w:r>
    </w:p>
    <w:p>
      <w:pPr>
        <w:pStyle w:val="BodyText"/>
      </w:pPr>
      <w:r>
        <w:t xml:space="preserve">Meridian Financial Advisory Pty Ltd is a licensed financial services provider registered in the State of Victoria, Australia Melbourne, and operates in compliance with all applicable Australian financial regulations.</w:t>
      </w:r>
    </w:p>
    <w:p>
      <w:pPr>
        <w:pStyle w:val="BodyText"/>
      </w:pPr>
      <w:r>
        <w:t xml:space="preserve">© 2025 Meridian Financial Advisory Pty Ltd. All rights reserved. Invoice MFA-2025-0487.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Financial Analyst Services - Australia Melbourne</dc:title>
  <dc:creator/>
  <dc:language>en</dc:language>
  <cp:keywords/>
  <dcterms:created xsi:type="dcterms:W3CDTF">2026-10-10T08:00:24Z</dcterms:created>
  <dcterms:modified xsi:type="dcterms:W3CDTF">2026-10-10T08:00:24Z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