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sydney-financial-analytics-pty-ltd"/>
    <w:p>
      <w:pPr>
        <w:pStyle w:val="Heading1"/>
      </w:pPr>
      <w:r>
        <w:t xml:space="preserve">Sydney Financial Analytics Pty Ltd</w:t>
      </w:r>
    </w:p>
    <w:p>
      <w:pPr>
        <w:pStyle w:val="FirstParagraph"/>
      </w:pPr>
      <w:r>
        <w:t xml:space="preserve">Level 12, 200 George Street, Sydney NSW 2000, Australia</w:t>
      </w:r>
    </w:p>
    <w:p>
      <w:pPr>
        <w:pStyle w:val="BodyText"/>
      </w:pPr>
      <w:r>
        <w:t xml:space="preserve">ABN: 48 123 456 789</w:t>
      </w:r>
    </w:p>
    <w:p>
      <w:pPr>
        <w:pStyle w:val="BodyText"/>
      </w:pPr>
      <w:r>
        <w:t xml:space="preserve">Phone: +61 2 9300 4567 | Email: billing@sydneyfinancialanalytics.com.au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SFA-2025-00472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Harbourview Capital Group Ltd</w:t>
      </w:r>
    </w:p>
    <w:p>
      <w:pPr>
        <w:pStyle w:val="BodyText"/>
      </w:pPr>
      <w:r>
        <w:t xml:space="preserve">Attn: Mr. James Whitfield, CFO</w:t>
      </w:r>
    </w:p>
    <w:p>
      <w:pPr>
        <w:pStyle w:val="BodyText"/>
      </w:pPr>
      <w:r>
        <w:t xml:space="preserve">Suite 5, 1 Macquarie Place, Sydney NSW 2000</w:t>
      </w:r>
    </w:p>
    <w:p>
      <w:pPr>
        <w:pStyle w:val="BodyText"/>
      </w:pPr>
      <w:r>
        <w:t xml:space="preserve">Australia</w:t>
      </w:r>
    </w:p>
    <w:p>
      <w:pPr>
        <w:pStyle w:val="BodyText"/>
      </w:pPr>
      <w:r>
        <w:t xml:space="preserve">ABN: 21 987 654 321</w:t>
      </w:r>
    </w:p>
    <w:p>
      <w:pPr>
        <w:pStyle w:val="BodyText"/>
      </w:pPr>
      <w:r>
        <w:t xml:space="preserve">Email: j.whitfield@harbourviewcapital.com.au</w:t>
      </w:r>
    </w:p>
    <w:bookmarkEnd w:id="22"/>
    <w:bookmarkStart w:id="23" w:name="service-provider"/>
    <w:p>
      <w:pPr>
        <w:pStyle w:val="Heading3"/>
      </w:pPr>
      <w:r>
        <w:t xml:space="preserve">Service Provider</w:t>
      </w:r>
    </w:p>
    <w:p>
      <w:pPr>
        <w:pStyle w:val="FirstParagraph"/>
      </w:pPr>
      <w:r>
        <w:rPr>
          <w:bCs/>
          <w:b/>
        </w:rPr>
        <w:t xml:space="preserve">Sydney Financial Analytics Pty Ltd</w:t>
      </w:r>
    </w:p>
    <w:p>
      <w:pPr>
        <w:pStyle w:val="BodyText"/>
      </w:pPr>
      <w:r>
        <w:t xml:space="preserve">Lead Financial Analyst: Dr. Elena Marchetti</w:t>
      </w:r>
    </w:p>
    <w:p>
      <w:pPr>
        <w:pStyle w:val="BodyText"/>
      </w:pPr>
      <w:r>
        <w:t xml:space="preserve">Level 12, 200 George Street, Sydney NSW 2000</w:t>
      </w:r>
    </w:p>
    <w:p>
      <w:pPr>
        <w:pStyle w:val="BodyText"/>
      </w:pPr>
      <w:r>
        <w:t xml:space="preserve">Australia</w:t>
      </w:r>
    </w:p>
    <w:p>
      <w:pPr>
        <w:pStyle w:val="BodyText"/>
      </w:pPr>
      <w:r>
        <w:t xml:space="preserve">ABN: 48 123 456 789</w:t>
      </w:r>
    </w:p>
    <w:p>
      <w:pPr>
        <w:pStyle w:val="BodyText"/>
      </w:pPr>
      <w:r>
        <w:t xml:space="preserve">Email: e.marchetti@sydneyfinancialanalytics.com.au</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Financial Analyst Services</w:t>
            </w:r>
          </w:p>
        </w:tc>
        <w:tc>
          <w:tcPr/>
          <w:p>
            <w:pPr>
              <w:pStyle w:val="Compact"/>
              <w:jc w:val="left"/>
            </w:pPr>
            <w:r>
              <w:t xml:space="preserve">Period</w:t>
            </w:r>
          </w:p>
        </w:tc>
        <w:tc>
          <w:tcPr/>
          <w:p>
            <w:pPr>
              <w:pStyle w:val="Compact"/>
              <w:jc w:val="left"/>
            </w:pPr>
            <w:r>
              <w:t xml:space="preserve">Rate (AUD)</w:t>
            </w:r>
          </w:p>
        </w:tc>
        <w:tc>
          <w:tcPr/>
          <w:p>
            <w:pPr>
              <w:pStyle w:val="Compact"/>
              <w:jc w:val="left"/>
            </w:pPr>
            <w:r>
              <w:t xml:space="preserve">Hours</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Comprehensive quarterly financial analysis and performance reporting for Harbourview Capital Group. The Financial Analyst conducted a detailed review of income statements, balance sheets, and cash flow projections across all operating divisions in Australia Sydney and interstate markets.</w:t>
            </w:r>
          </w:p>
        </w:tc>
        <w:tc>
          <w:tcPr/>
          <w:p>
            <w:pPr>
              <w:pStyle w:val="Compact"/>
              <w:jc w:val="left"/>
            </w:pPr>
            <w:r>
              <w:t xml:space="preserve">Q1 FY2025</w:t>
            </w:r>
          </w:p>
        </w:tc>
        <w:tc>
          <w:tcPr/>
          <w:p>
            <w:pPr>
              <w:pStyle w:val="Compact"/>
              <w:jc w:val="left"/>
            </w:pPr>
            <w:r>
              <w:t xml:space="preserve">$185.00/hr</w:t>
            </w:r>
          </w:p>
        </w:tc>
        <w:tc>
          <w:tcPr/>
          <w:p>
            <w:pPr>
              <w:pStyle w:val="Compact"/>
              <w:jc w:val="left"/>
            </w:pPr>
            <w:r>
              <w:t xml:space="preserve">42.0</w:t>
            </w:r>
          </w:p>
        </w:tc>
        <w:tc>
          <w:tcPr/>
          <w:p>
            <w:pPr>
              <w:pStyle w:val="Compact"/>
              <w:jc w:val="left"/>
            </w:pPr>
            <w:r>
              <w:t xml:space="preserve">$7,770.00</w:t>
            </w:r>
          </w:p>
        </w:tc>
      </w:tr>
      <w:tr>
        <w:tc>
          <w:tcPr/>
          <w:p>
            <w:pPr>
              <w:pStyle w:val="Compact"/>
              <w:jc w:val="left"/>
            </w:pPr>
            <w:r>
              <w:t xml:space="preserve">02</w:t>
            </w:r>
          </w:p>
        </w:tc>
        <w:tc>
          <w:tcPr/>
          <w:p>
            <w:pPr>
              <w:pStyle w:val="Compact"/>
              <w:jc w:val="left"/>
            </w:pPr>
            <w:r>
              <w:t xml:space="preserve">Development of a 5-year strategic financial model incorporating revenue forecasting, capital expenditure planning, and risk-adjusted return analysis. The Financial Analyst utilised advanced statistical modelling tools to project market conditions specific to the Australia Sydney metropolitan economic corridor.</w:t>
            </w:r>
          </w:p>
        </w:tc>
        <w:tc>
          <w:tcPr/>
          <w:p>
            <w:pPr>
              <w:pStyle w:val="Compact"/>
              <w:jc w:val="left"/>
            </w:pPr>
            <w:r>
              <w:t xml:space="preserve">Apr – May 2025</w:t>
            </w:r>
          </w:p>
        </w:tc>
        <w:tc>
          <w:tcPr/>
          <w:p>
            <w:pPr>
              <w:pStyle w:val="Compact"/>
              <w:jc w:val="left"/>
            </w:pPr>
            <w:r>
              <w:t xml:space="preserve">$185.00/hr</w:t>
            </w:r>
          </w:p>
        </w:tc>
        <w:tc>
          <w:tcPr/>
          <w:p>
            <w:pPr>
              <w:pStyle w:val="Compact"/>
              <w:jc w:val="left"/>
            </w:pPr>
            <w:r>
              <w:t xml:space="preserve">36.0</w:t>
            </w:r>
          </w:p>
        </w:tc>
        <w:tc>
          <w:tcPr/>
          <w:p>
            <w:pPr>
              <w:pStyle w:val="Compact"/>
              <w:jc w:val="left"/>
            </w:pPr>
            <w:r>
              <w:t xml:space="preserve">$6,660.00</w:t>
            </w:r>
          </w:p>
        </w:tc>
      </w:tr>
      <w:tr>
        <w:tc>
          <w:tcPr/>
          <w:p>
            <w:pPr>
              <w:pStyle w:val="Compact"/>
              <w:jc w:val="left"/>
            </w:pPr>
            <w:r>
              <w:t xml:space="preserve">03</w:t>
            </w:r>
          </w:p>
        </w:tc>
        <w:tc>
          <w:tcPr/>
          <w:p>
            <w:pPr>
              <w:pStyle w:val="Compact"/>
              <w:jc w:val="left"/>
            </w:pPr>
            <w:r>
              <w:t xml:space="preserve">Preparation of board-level presentation materials and executive summary documents. The Financial Analyst compiled key performance indicators, variance analyses, and comparative benchmarking data against peer companies listed on the Australian Securities Exchange (ASX) headquartered in Australia Sydney.</w:t>
            </w:r>
          </w:p>
        </w:tc>
        <w:tc>
          <w:tcPr/>
          <w:p>
            <w:pPr>
              <w:pStyle w:val="Compact"/>
              <w:jc w:val="left"/>
            </w:pPr>
            <w:r>
              <w:t xml:space="preserve">May 2025</w:t>
            </w:r>
          </w:p>
        </w:tc>
        <w:tc>
          <w:tcPr/>
          <w:p>
            <w:pPr>
              <w:pStyle w:val="Compact"/>
              <w:jc w:val="left"/>
            </w:pPr>
            <w:r>
              <w:t xml:space="preserve">$185.00/hr</w:t>
            </w:r>
          </w:p>
        </w:tc>
        <w:tc>
          <w:tcPr/>
          <w:p>
            <w:pPr>
              <w:pStyle w:val="Compact"/>
              <w:jc w:val="left"/>
            </w:pPr>
            <w:r>
              <w:t xml:space="preserve">18.5</w:t>
            </w:r>
          </w:p>
        </w:tc>
        <w:tc>
          <w:tcPr/>
          <w:p>
            <w:pPr>
              <w:pStyle w:val="Compact"/>
              <w:jc w:val="left"/>
            </w:pPr>
            <w:r>
              <w:t xml:space="preserve">$3,422.50</w:t>
            </w:r>
          </w:p>
        </w:tc>
      </w:tr>
      <w:tr>
        <w:tc>
          <w:tcPr/>
          <w:p>
            <w:pPr>
              <w:pStyle w:val="Compact"/>
              <w:jc w:val="left"/>
            </w:pPr>
            <w:r>
              <w:t xml:space="preserve">04</w:t>
            </w:r>
          </w:p>
        </w:tc>
        <w:tc>
          <w:tcPr/>
          <w:p>
            <w:pPr>
              <w:pStyle w:val="Compact"/>
              <w:jc w:val="left"/>
            </w:pPr>
            <w:r>
              <w:t xml:space="preserve">Due diligence financial assessment for proposed acquisition of a commercial property portfolio in the Australia Sydney CBD. The Financial Analyst performed discounted cash flow analysis, sensitivity testing, and regulatory compliance review in accordance with Australian Accounting Standards (AASB).</w:t>
            </w:r>
          </w:p>
        </w:tc>
        <w:tc>
          <w:tcPr/>
          <w:p>
            <w:pPr>
              <w:pStyle w:val="Compact"/>
              <w:jc w:val="left"/>
            </w:pPr>
            <w:r>
              <w:t xml:space="preserve">Jun 2025</w:t>
            </w:r>
          </w:p>
        </w:tc>
        <w:tc>
          <w:tcPr/>
          <w:p>
            <w:pPr>
              <w:pStyle w:val="Compact"/>
              <w:jc w:val="left"/>
            </w:pPr>
            <w:r>
              <w:t xml:space="preserve">$185.00/hr</w:t>
            </w:r>
          </w:p>
        </w:tc>
        <w:tc>
          <w:tcPr/>
          <w:p>
            <w:pPr>
              <w:pStyle w:val="Compact"/>
              <w:jc w:val="left"/>
            </w:pPr>
            <w:r>
              <w:t xml:space="preserve">28.0</w:t>
            </w:r>
          </w:p>
        </w:tc>
        <w:tc>
          <w:tcPr/>
          <w:p>
            <w:pPr>
              <w:pStyle w:val="Compact"/>
              <w:jc w:val="left"/>
            </w:pPr>
            <w:r>
              <w:t xml:space="preserve">$5,180.00</w:t>
            </w:r>
          </w:p>
        </w:tc>
      </w:tr>
      <w:tr>
        <w:tc>
          <w:tcPr/>
          <w:p>
            <w:pPr>
              <w:pStyle w:val="Compact"/>
              <w:jc w:val="left"/>
            </w:pPr>
            <w:r>
              <w:t xml:space="preserve">05</w:t>
            </w:r>
          </w:p>
        </w:tc>
        <w:tc>
          <w:tcPr/>
          <w:p>
            <w:pPr>
              <w:pStyle w:val="Compact"/>
              <w:jc w:val="left"/>
            </w:pPr>
            <w:r>
              <w:t xml:space="preserve">Ongoing advisory and consultation services. The Financial Analyst provided weekly progress updates, answered queries regarding the financial modelling outputs, and conducted two on-site meetings at the client's Australia Sydney office to review interim findings and refine analytical assumptions.</w:t>
            </w:r>
          </w:p>
        </w:tc>
        <w:tc>
          <w:tcPr/>
          <w:p>
            <w:pPr>
              <w:pStyle w:val="Compact"/>
              <w:jc w:val="left"/>
            </w:pPr>
            <w:r>
              <w:t xml:space="preserve">Jun 2025</w:t>
            </w:r>
          </w:p>
        </w:tc>
        <w:tc>
          <w:tcPr/>
          <w:p>
            <w:pPr>
              <w:pStyle w:val="Compact"/>
              <w:jc w:val="left"/>
            </w:pPr>
            <w:r>
              <w:t xml:space="preserve">$185.00/hr</w:t>
            </w:r>
          </w:p>
        </w:tc>
        <w:tc>
          <w:tcPr/>
          <w:p>
            <w:pPr>
              <w:pStyle w:val="Compact"/>
              <w:jc w:val="left"/>
            </w:pPr>
            <w:r>
              <w:t xml:space="preserve">12.0</w:t>
            </w:r>
          </w:p>
        </w:tc>
        <w:tc>
          <w:tcPr/>
          <w:p>
            <w:pPr>
              <w:pStyle w:val="Compact"/>
              <w:jc w:val="left"/>
            </w:pPr>
            <w:r>
              <w:t xml:space="preserve">$2,220.00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$25,252.50</w:t>
            </w:r>
          </w:p>
        </w:tc>
      </w:tr>
      <w:tr>
        <w:tc>
          <w:tcPr/>
          <w:p>
            <w:pPr>
              <w:pStyle w:val="Compact"/>
              <w:jc w:val="left"/>
            </w:pPr>
            <w:r>
              <w:t xml:space="preserve">GST @ 10% (AUD)</w:t>
            </w:r>
          </w:p>
        </w:tc>
        <w:tc>
          <w:tcPr/>
          <w:p>
            <w:pPr>
              <w:pStyle w:val="Compact"/>
              <w:jc w:val="left"/>
            </w:pPr>
            <w:r>
              <w:t xml:space="preserve">$2,525.25</w:t>
            </w:r>
          </w:p>
        </w:tc>
      </w:tr>
      <w:tr>
        <w:tc>
          <w:tcPr/>
          <w:p>
            <w:pPr>
              <w:pStyle w:val="Compact"/>
              <w:jc w:val="left"/>
            </w:pPr>
            <w:r>
              <w:t xml:space="preserve">Discount – Early Payment (2%)</w:t>
            </w:r>
          </w:p>
        </w:tc>
        <w:tc>
          <w:tcPr/>
          <w:p>
            <w:pPr>
              <w:pStyle w:val="Compact"/>
              <w:jc w:val="left"/>
            </w:pPr>
            <w:r>
              <w:t xml:space="preserve">($505.05)</w:t>
            </w:r>
          </w:p>
        </w:tc>
      </w:tr>
      <w:tr>
        <w:tc>
          <w:tcPr/>
          <w:p>
            <w:pPr>
              <w:pStyle w:val="Compact"/>
              <w:jc w:val="left"/>
            </w:pPr>
            <w:r>
              <w:t xml:space="preserve">TOTAL AMOUNT DUE (AUD)</w:t>
            </w:r>
          </w:p>
        </w:tc>
        <w:tc>
          <w:tcPr/>
          <w:p>
            <w:pPr>
              <w:pStyle w:val="Compact"/>
              <w:jc w:val="left"/>
            </w:pPr>
            <w:r>
              <w:t xml:space="preserve">$27,272.70</w:t>
            </w:r>
          </w:p>
        </w:tc>
      </w:tr>
    </w:tbl>
    <w:bookmarkStart w:id="24" w:name="payment-instructions"/>
    <w:p>
      <w:pPr>
        <w:pStyle w:val="Heading3"/>
      </w:pPr>
      <w:r>
        <w:t xml:space="preserve">Payment Instructions</w:t>
      </w:r>
    </w:p>
    <w:p>
      <w:pPr>
        <w:pStyle w:val="FirstParagraph"/>
      </w:pPr>
      <w:r>
        <w:t xml:space="preserve">Please remit payment for this Invoice within 30 days of the issue date to the following bank account:</w:t>
      </w:r>
    </w:p>
    <w:p>
      <w:pPr>
        <w:pStyle w:val="BodyText"/>
      </w:pPr>
      <w:r>
        <w:rPr>
          <w:bCs/>
          <w:b/>
        </w:rPr>
        <w:t xml:space="preserve">Bank:</w:t>
      </w:r>
      <w:r>
        <w:t xml:space="preserve"> </w:t>
      </w:r>
      <w:r>
        <w:t xml:space="preserve">Commonwealth Bank of Australia</w:t>
      </w:r>
    </w:p>
    <w:p>
      <w:pPr>
        <w:pStyle w:val="BodyText"/>
      </w:pPr>
      <w:r>
        <w:rPr>
          <w:bCs/>
          <w:b/>
        </w:rPr>
        <w:t xml:space="preserve">Account Name:</w:t>
      </w:r>
      <w:r>
        <w:t xml:space="preserve"> </w:t>
      </w:r>
      <w:r>
        <w:t xml:space="preserve">Sydney Financial Analytics Pty Ltd</w:t>
      </w:r>
    </w:p>
    <w:p>
      <w:pPr>
        <w:pStyle w:val="BodyText"/>
      </w:pPr>
      <w:r>
        <w:rPr>
          <w:bCs/>
          <w:b/>
        </w:rPr>
        <w:t xml:space="preserve">BSB:</w:t>
      </w:r>
      <w:r>
        <w:t xml:space="preserve"> </w:t>
      </w:r>
      <w:r>
        <w:t xml:space="preserve">063-123  | </w:t>
      </w:r>
      <w:r>
        <w:t xml:space="preserve"> </w:t>
      </w:r>
      <w:r>
        <w:rPr>
          <w:bCs/>
          <w:b/>
        </w:rPr>
        <w:t xml:space="preserve">Account Number:</w:t>
      </w:r>
      <w:r>
        <w:t xml:space="preserve"> </w:t>
      </w:r>
      <w:r>
        <w:t xml:space="preserve">1234 5678</w:t>
      </w:r>
    </w:p>
    <w:p>
      <w:pPr>
        <w:pStyle w:val="BodyText"/>
      </w:pPr>
      <w:r>
        <w:rPr>
          <w:bCs/>
          <w:b/>
        </w:rPr>
        <w:t xml:space="preserve">Reference:</w:t>
      </w:r>
      <w:r>
        <w:t xml:space="preserve"> </w:t>
      </w:r>
      <w:r>
        <w:t xml:space="preserve">SFA-2025-00472</w:t>
      </w:r>
    </w:p>
    <w:p>
      <w:pPr>
        <w:pStyle w:val="BodyText"/>
      </w:pPr>
      <w:r>
        <w:t xml:space="preserve">Please quote the Invoice number on all correspondence. For international remittances, please note that this Invoice is denominated in Australian Dollars (AUD) and any currency conversion fees are the responsibility of the payer.</w:t>
      </w:r>
    </w:p>
    <w:bookmarkEnd w:id="24"/>
    <w:bookmarkStart w:id="25" w:name="notes-and-terms"/>
    <w:p>
      <w:pPr>
        <w:pStyle w:val="Heading3"/>
      </w:pPr>
      <w:r>
        <w:t xml:space="preserve">Notes and Terms</w:t>
      </w:r>
    </w:p>
    <w:p>
      <w:pPr>
        <w:pStyle w:val="FirstParagraph"/>
      </w:pPr>
      <w:r>
        <w:t xml:space="preserve">1. This Invoice has been prepared in accordance with the Australian Taxation Office (ATO) requirements for GST-registered entities operating in Australia Sydney and the broader New South Wales jurisdiction.</w:t>
      </w:r>
    </w:p>
    <w:p>
      <w:pPr>
        <w:pStyle w:val="BodyText"/>
      </w:pPr>
      <w:r>
        <w:t xml:space="preserve">2. All Financial Analyst services described herein were delivered by qualified professionals holding Chartered Accountant (CA) or CPA Australia designations, ensuring compliance with the highest professional standards in the financial services industry.</w:t>
      </w:r>
    </w:p>
    <w:p>
      <w:pPr>
        <w:pStyle w:val="BodyText"/>
      </w:pPr>
      <w:r>
        <w:t xml:space="preserve">3. The 2% early payment discount applies only if full payment is received within 14 days of the Invoice issue date (i.e., by 29 June 2025).</w:t>
      </w:r>
    </w:p>
    <w:p>
      <w:pPr>
        <w:pStyle w:val="BodyText"/>
      </w:pPr>
      <w:r>
        <w:t xml:space="preserve">4. Late payments will incur interest at the rate of 1.5% per month as permitted under the Australian Consumer Law and the Competition and Consumer Act 2010 (Cth).</w:t>
      </w:r>
    </w:p>
    <w:p>
      <w:pPr>
        <w:pStyle w:val="BodyText"/>
      </w:pPr>
      <w:r>
        <w:t xml:space="preserve">5. All intellectual property, models, reports, and deliverables produced by the Financial Analyst during the engagement period remain the property of Sydney Financial Analytics Pty Ltd until full payment of this Invoice is received.</w:t>
      </w:r>
    </w:p>
    <w:p>
      <w:pPr>
        <w:pStyle w:val="BodyText"/>
      </w:pPr>
      <w:r>
        <w:t xml:space="preserve">6. This Invoice constitutes a formal request for payment and is not a tax invoice for the purposes of claiming GST input tax credits unless the recipient is a GST-registered entity. Please contact our billing department if a separate Tax Invoice is required.</w:t>
      </w:r>
    </w:p>
    <w:p>
      <w:pPr>
        <w:pStyle w:val="BodyText"/>
      </w:pPr>
      <w:r>
        <w:t xml:space="preserve">7. Any disputes regarding the services rendered or the amounts stated on this Invoice must be raised in writing within 14 days of receipt. Failure to do so will be taken as acceptance of the Invoice terms.</w:t>
      </w:r>
    </w:p>
    <w:bookmarkEnd w:id="25"/>
    <w:p>
      <w:pPr>
        <w:pStyle w:val="BodyText"/>
      </w:pPr>
      <w:r>
        <w:rPr>
          <w:bCs/>
          <w:b/>
        </w:rPr>
        <w:t xml:space="preserve">Sydney Financial Analytics Pty Ltd</w:t>
      </w:r>
      <w:r>
        <w:t xml:space="preserve"> </w:t>
      </w:r>
      <w:r>
        <w:t xml:space="preserve">| ABN 48 123 456 789 | Level 12, 200 George Street, Sydney NSW 2000, Australia</w:t>
      </w:r>
    </w:p>
    <w:p>
      <w:pPr>
        <w:pStyle w:val="BodyText"/>
      </w:pPr>
      <w:r>
        <w:t xml:space="preserve">This Invoice was generated electronically and is valid without a physical signature. For queries, contact billing@sydneyfinancialanalytics.com.au or call +61 2 9300 4567.</w:t>
      </w:r>
    </w:p>
    <w:p>
      <w:pPr>
        <w:pStyle w:val="BodyText"/>
      </w:pPr>
      <w:r>
        <w:t xml:space="preserve">Thank you for engaging our Financial Analyst team. We value our partnership with Harbourview Capital Group and look forward to continuing to deliver exceptional financial insight and analytical excellence in Australia Sydney and beyond.</w:t>
      </w:r>
    </w:p>
    <w:p>
      <w:pPr>
        <w:pStyle w:val="BodyText"/>
      </w:pPr>
      <w:r>
        <w:t xml:space="preserve">© 2025 Sydney Financial Analytics Pty Ltd. All rights reserved. This document is the property of the issuing entity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Australia Sydney</dc:title>
  <dc:creator/>
  <dc:language>en</dc:language>
  <cp:keywords/>
  <dcterms:created xsi:type="dcterms:W3CDTF">2026-10-10T08:02:38Z</dcterms:created>
  <dcterms:modified xsi:type="dcterms:W3CDTF">2026-10-10T08:02:38Z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