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apex-financial-consulting-ltd."/>
    <w:p>
      <w:pPr>
        <w:pStyle w:val="Heading1"/>
      </w:pPr>
      <w:r>
        <w:t xml:space="preserve">Apex Financial Consulting Ltd.</w:t>
      </w:r>
    </w:p>
    <w:p>
      <w:pPr>
        <w:pStyle w:val="FirstParagraph"/>
      </w:pPr>
      <w:r>
        <w:t xml:space="preserve">House 42, Road 11, Banani, Dhaka-1213, Bangladesh</w:t>
      </w:r>
    </w:p>
    <w:p>
      <w:pPr>
        <w:pStyle w:val="BodyText"/>
      </w:pPr>
      <w:r>
        <w:t xml:space="preserve">Tel: +880-2-9887654 | Email: billing@apexfinancialbd.com</w:t>
      </w:r>
    </w:p>
    <w:p>
      <w:pPr>
        <w:pStyle w:val="BodyText"/>
      </w:pPr>
      <w:r>
        <w:t xml:space="preserve">VAT Reg. No: 001234567-0101 | TIN: 501234567890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AFC/2025/BD-0472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w:t>
      </w:r>
      <w:r>
        <w:t xml:space="preserve"> </w:t>
      </w:r>
      <w:r>
        <w:t xml:space="preserve">Dhaka Metropolitan Industries PLC</w:t>
      </w:r>
    </w:p>
    <w:p>
      <w:pPr>
        <w:pStyle w:val="BodyText"/>
      </w:pPr>
      <w:r>
        <w:rPr>
          <w:bCs/>
          <w:b/>
        </w:rPr>
        <w:t xml:space="preserve">Address:</w:t>
      </w:r>
      <w:r>
        <w:t xml:space="preserve"> </w:t>
      </w:r>
      <w:r>
        <w:t xml:space="preserve">Plot 7, Level 5, Gulshan Avenue, Bangladesh Dhaka-1212</w:t>
      </w:r>
    </w:p>
    <w:p>
      <w:pPr>
        <w:pStyle w:val="BodyText"/>
      </w:pPr>
      <w:r>
        <w:rPr>
          <w:bCs/>
          <w:b/>
        </w:rPr>
        <w:t xml:space="preserve">Attn:</w:t>
      </w:r>
      <w:r>
        <w:t xml:space="preserve"> </w:t>
      </w:r>
      <w:r>
        <w:t xml:space="preserve">Mr. Rafiqul Islam, Chief Financial Officer</w:t>
      </w:r>
    </w:p>
    <w:p>
      <w:pPr>
        <w:pStyle w:val="BodyText"/>
      </w:pPr>
      <w:r>
        <w:rPr>
          <w:bCs/>
          <w:b/>
        </w:rPr>
        <w:t xml:space="preserve">Email:</w:t>
      </w:r>
      <w:r>
        <w:t xml:space="preserve"> </w:t>
      </w:r>
      <w:r>
        <w:t xml:space="preserve">r.islam@dmiplc.com.bd</w:t>
      </w:r>
    </w:p>
    <w:p>
      <w:pPr>
        <w:pStyle w:val="BodyText"/>
      </w:pPr>
      <w:r>
        <w:rPr>
          <w:bCs/>
          <w:b/>
        </w:rPr>
        <w:t xml:space="preserve">Phone:</w:t>
      </w:r>
      <w:r>
        <w:t xml:space="preserve"> </w:t>
      </w:r>
      <w:r>
        <w:t xml:space="preserve">+880-1711-234567</w:t>
      </w:r>
    </w:p>
    <w:bookmarkEnd w:id="22"/>
    <w:bookmarkStart w:id="23" w:name="prepared-by"/>
    <w:p>
      <w:pPr>
        <w:pStyle w:val="Heading3"/>
      </w:pPr>
      <w:r>
        <w:t xml:space="preserve">Prepared By</w:t>
      </w:r>
    </w:p>
    <w:p>
      <w:pPr>
        <w:pStyle w:val="FirstParagraph"/>
      </w:pPr>
      <w:r>
        <w:rPr>
          <w:bCs/>
          <w:b/>
        </w:rPr>
        <w:t xml:space="preserve">Financial Analyst:</w:t>
      </w:r>
      <w:r>
        <w:t xml:space="preserve"> </w:t>
      </w:r>
      <w:r>
        <w:t xml:space="preserve">Ms. Nusrat Jahan</w:t>
      </w:r>
    </w:p>
    <w:p>
      <w:pPr>
        <w:pStyle w:val="BodyText"/>
      </w:pPr>
      <w:r>
        <w:rPr>
          <w:bCs/>
          <w:b/>
        </w:rPr>
        <w:t xml:space="preserve">Designation:</w:t>
      </w:r>
      <w:r>
        <w:t xml:space="preserve"> </w:t>
      </w:r>
      <w:r>
        <w:t xml:space="preserve">Senior Financial Analyst</w:t>
      </w:r>
    </w:p>
    <w:p>
      <w:pPr>
        <w:pStyle w:val="BodyText"/>
      </w:pPr>
      <w:r>
        <w:rPr>
          <w:bCs/>
          <w:b/>
        </w:rPr>
        <w:t xml:space="preserve">Department:</w:t>
      </w:r>
      <w:r>
        <w:t xml:space="preserve"> </w:t>
      </w:r>
      <w:r>
        <w:t xml:space="preserve">Corporate Advisory Division</w:t>
      </w:r>
    </w:p>
    <w:p>
      <w:pPr>
        <w:pStyle w:val="BodyText"/>
      </w:pPr>
      <w:r>
        <w:rPr>
          <w:bCs/>
          <w:b/>
        </w:rPr>
        <w:t xml:space="preserve">License No:</w:t>
      </w:r>
      <w:r>
        <w:t xml:space="preserve"> </w:t>
      </w:r>
      <w:r>
        <w:t xml:space="preserve">CFA-BD-2019-00847</w:t>
      </w:r>
    </w:p>
    <w:p>
      <w:pPr>
        <w:pStyle w:val="BodyText"/>
      </w:pPr>
      <w:r>
        <w:rPr>
          <w:bCs/>
          <w:b/>
        </w:rPr>
        <w:t xml:space="preserve">Office:</w:t>
      </w:r>
      <w:r>
        <w:t xml:space="preserve"> </w:t>
      </w:r>
      <w:r>
        <w:t xml:space="preserve">Apex Financial Consulting, Bangladesh Dhaka</w:t>
      </w:r>
    </w:p>
    <w:bookmarkEnd w:id="23"/>
    <w:p>
      <w:pPr>
        <w:pStyle w:val="BodyText"/>
      </w:pPr>
      <w:r>
        <w:t xml:space="preserve">This Invoice is issued by Apex Financial Consulting Ltd., a registered professional services firm operating in Bangladesh Dhaka, for the engagement of a qualified Financial Analyst to provide comprehensive financial advisory, portfolio analysis, and corporate valuation services during the specified service period. The Financial Analyst assigned to this engagement has delivered all deliverables in accordance with the terms outlined in the Master Service Agreement (MSA) dated 12 January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(BDT)</w:t>
            </w:r>
          </w:p>
        </w:tc>
        <w:tc>
          <w:tcPr/>
          <w:p>
            <w:pPr>
              <w:pStyle w:val="Compact"/>
              <w:jc w:val="left"/>
            </w:pPr>
            <w:r>
              <w:t xml:space="preserve">Hours</w:t>
            </w:r>
          </w:p>
        </w:tc>
        <w:tc>
          <w:tcPr/>
          <w:p>
            <w:pPr>
              <w:pStyle w:val="Compact"/>
              <w:jc w:val="left"/>
            </w:pPr>
            <w:r>
              <w:t xml:space="preserve">Amount (BDT)</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Financial Analyst – Quarterly Financial Statement Analysis &amp; Ratio Interpretation for Dhaka Metropolitan Industries PLC</w:t>
            </w:r>
          </w:p>
        </w:tc>
        <w:tc>
          <w:tcPr/>
          <w:p>
            <w:pPr>
              <w:pStyle w:val="Compact"/>
              <w:jc w:val="left"/>
            </w:pPr>
            <w:r>
              <w:t xml:space="preserve">2,500</w:t>
            </w:r>
          </w:p>
        </w:tc>
        <w:tc>
          <w:tcPr/>
          <w:p>
            <w:pPr>
              <w:pStyle w:val="Compact"/>
              <w:jc w:val="left"/>
            </w:pPr>
            <w:r>
              <w:t xml:space="preserve">40</w:t>
            </w:r>
          </w:p>
        </w:tc>
        <w:tc>
          <w:tcPr/>
          <w:p>
            <w:pPr>
              <w:pStyle w:val="Compact"/>
              <w:jc w:val="left"/>
            </w:pPr>
            <w:r>
              <w:t xml:space="preserve">100,000.00</w:t>
            </w:r>
          </w:p>
        </w:tc>
        <w:tc>
          <w:tcPr/>
          <w:p>
            <w:pPr>
              <w:pStyle w:val="Compact"/>
              <w:jc w:val="left"/>
            </w:pPr>
            <w:r>
              <w:t xml:space="preserve">MSA-2025/012, Clause 4.1</w:t>
            </w:r>
          </w:p>
        </w:tc>
      </w:tr>
      <w:tr>
        <w:tc>
          <w:tcPr/>
          <w:p>
            <w:pPr>
              <w:pStyle w:val="Compact"/>
              <w:jc w:val="left"/>
            </w:pPr>
            <w:r>
              <w:t xml:space="preserve">2</w:t>
            </w:r>
          </w:p>
        </w:tc>
        <w:tc>
          <w:tcPr/>
          <w:p>
            <w:pPr>
              <w:pStyle w:val="Compact"/>
              <w:jc w:val="left"/>
            </w:pPr>
            <w:r>
              <w:t xml:space="preserve">Financial Analyst – Capital Structure Optimization &amp; Debt-to-Equity Modelling (Bangladesh Dhaka Market Context)</w:t>
            </w:r>
          </w:p>
        </w:tc>
        <w:tc>
          <w:tcPr/>
          <w:p>
            <w:pPr>
              <w:pStyle w:val="Compact"/>
              <w:jc w:val="left"/>
            </w:pPr>
            <w:r>
              <w:t xml:space="preserve">3,200</w:t>
            </w:r>
          </w:p>
        </w:tc>
        <w:tc>
          <w:tcPr/>
          <w:p>
            <w:pPr>
              <w:pStyle w:val="Compact"/>
              <w:jc w:val="left"/>
            </w:pPr>
            <w:r>
              <w:t xml:space="preserve">32</w:t>
            </w:r>
          </w:p>
        </w:tc>
        <w:tc>
          <w:tcPr/>
          <w:p>
            <w:pPr>
              <w:pStyle w:val="Compact"/>
              <w:jc w:val="left"/>
            </w:pPr>
            <w:r>
              <w:t xml:space="preserve">102,400.00</w:t>
            </w:r>
          </w:p>
        </w:tc>
        <w:tc>
          <w:tcPr/>
          <w:p>
            <w:pPr>
              <w:pStyle w:val="Compact"/>
              <w:jc w:val="left"/>
            </w:pPr>
            <w:r>
              <w:t xml:space="preserve">MSA-2025/012, Clause 4.3</w:t>
            </w:r>
          </w:p>
        </w:tc>
      </w:tr>
      <w:tr>
        <w:tc>
          <w:tcPr/>
          <w:p>
            <w:pPr>
              <w:pStyle w:val="Compact"/>
              <w:jc w:val="left"/>
            </w:pPr>
            <w:r>
              <w:t xml:space="preserve">3</w:t>
            </w:r>
          </w:p>
        </w:tc>
        <w:tc>
          <w:tcPr/>
          <w:p>
            <w:pPr>
              <w:pStyle w:val="Compact"/>
              <w:jc w:val="left"/>
            </w:pPr>
            <w:r>
              <w:t xml:space="preserve">Financial Analyst – Cash Flow Forecasting &amp; Working Capital Assessment for FY 2025-2026</w:t>
            </w:r>
          </w:p>
        </w:tc>
        <w:tc>
          <w:tcPr/>
          <w:p>
            <w:pPr>
              <w:pStyle w:val="Compact"/>
              <w:jc w:val="left"/>
            </w:pPr>
            <w:r>
              <w:t xml:space="preserve">2,800</w:t>
            </w:r>
          </w:p>
        </w:tc>
        <w:tc>
          <w:tcPr/>
          <w:p>
            <w:pPr>
              <w:pStyle w:val="Compact"/>
              <w:jc w:val="left"/>
            </w:pPr>
            <w:r>
              <w:t xml:space="preserve">28</w:t>
            </w:r>
          </w:p>
        </w:tc>
        <w:tc>
          <w:tcPr/>
          <w:p>
            <w:pPr>
              <w:pStyle w:val="Compact"/>
              <w:jc w:val="left"/>
            </w:pPr>
            <w:r>
              <w:t xml:space="preserve">78,400.00</w:t>
            </w:r>
          </w:p>
        </w:tc>
        <w:tc>
          <w:tcPr/>
          <w:p>
            <w:pPr>
              <w:pStyle w:val="Compact"/>
              <w:jc w:val="left"/>
            </w:pPr>
            <w:r>
              <w:t xml:space="preserve">MSA-2025/012, Clause 4.5</w:t>
            </w:r>
          </w:p>
        </w:tc>
      </w:tr>
      <w:tr>
        <w:tc>
          <w:tcPr/>
          <w:p>
            <w:pPr>
              <w:pStyle w:val="Compact"/>
              <w:jc w:val="left"/>
            </w:pPr>
            <w:r>
              <w:t xml:space="preserve">4</w:t>
            </w:r>
          </w:p>
        </w:tc>
        <w:tc>
          <w:tcPr/>
          <w:p>
            <w:pPr>
              <w:pStyle w:val="Compact"/>
              <w:jc w:val="left"/>
            </w:pPr>
            <w:r>
              <w:t xml:space="preserve">Financial Analyst – Competitive Benchmarking &amp; Industry Valuation Report (DSE Listed Peers, Bangladesh Dhaka)</w:t>
            </w:r>
          </w:p>
        </w:tc>
        <w:tc>
          <w:tcPr/>
          <w:p>
            <w:pPr>
              <w:pStyle w:val="Compact"/>
              <w:jc w:val="left"/>
            </w:pPr>
            <w:r>
              <w:t xml:space="preserve">3,500</w:t>
            </w:r>
          </w:p>
        </w:tc>
        <w:tc>
          <w:tcPr/>
          <w:p>
            <w:pPr>
              <w:pStyle w:val="Compact"/>
              <w:jc w:val="left"/>
            </w:pPr>
            <w:r>
              <w:t xml:space="preserve">24</w:t>
            </w:r>
          </w:p>
        </w:tc>
        <w:tc>
          <w:tcPr/>
          <w:p>
            <w:pPr>
              <w:pStyle w:val="Compact"/>
              <w:jc w:val="left"/>
            </w:pPr>
            <w:r>
              <w:t xml:space="preserve">84,000.00</w:t>
            </w:r>
          </w:p>
        </w:tc>
        <w:tc>
          <w:tcPr/>
          <w:p>
            <w:pPr>
              <w:pStyle w:val="Compact"/>
              <w:jc w:val="left"/>
            </w:pPr>
            <w:r>
              <w:t xml:space="preserve">MSA-2025/012, Clause 4.7</w:t>
            </w:r>
          </w:p>
        </w:tc>
      </w:tr>
      <w:tr>
        <w:tc>
          <w:tcPr/>
          <w:p>
            <w:pPr>
              <w:pStyle w:val="Compact"/>
              <w:jc w:val="left"/>
            </w:pPr>
            <w:r>
              <w:t xml:space="preserve">5</w:t>
            </w:r>
          </w:p>
        </w:tc>
        <w:tc>
          <w:tcPr/>
          <w:p>
            <w:pPr>
              <w:pStyle w:val="Compact"/>
              <w:jc w:val="left"/>
            </w:pPr>
            <w:r>
              <w:t xml:space="preserve">Financial Analyst – Board Presentation Preparation &amp; Executive Briefing Session (2 sessions)</w:t>
            </w:r>
          </w:p>
        </w:tc>
        <w:tc>
          <w:tcPr/>
          <w:p>
            <w:pPr>
              <w:pStyle w:val="Compact"/>
              <w:jc w:val="left"/>
            </w:pPr>
            <w:r>
              <w:t xml:space="preserve">5,000</w:t>
            </w:r>
          </w:p>
        </w:tc>
        <w:tc>
          <w:tcPr/>
          <w:p>
            <w:pPr>
              <w:pStyle w:val="Compact"/>
              <w:jc w:val="left"/>
            </w:pPr>
            <w:r>
              <w:t xml:space="preserve">8</w:t>
            </w:r>
          </w:p>
        </w:tc>
        <w:tc>
          <w:tcPr/>
          <w:p>
            <w:pPr>
              <w:pStyle w:val="Compact"/>
              <w:jc w:val="left"/>
            </w:pPr>
            <w:r>
              <w:t xml:space="preserve">40,000.00</w:t>
            </w:r>
          </w:p>
        </w:tc>
        <w:tc>
          <w:tcPr/>
          <w:p>
            <w:pPr>
              <w:pStyle w:val="Compact"/>
              <w:jc w:val="left"/>
            </w:pPr>
            <w:r>
              <w:t xml:space="preserve">MSA-2025/012, Clause 5.2</w:t>
            </w:r>
          </w:p>
        </w:tc>
      </w:tr>
      <w:tr>
        <w:tc>
          <w:tcPr/>
          <w:p>
            <w:pPr>
              <w:pStyle w:val="Compact"/>
              <w:jc w:val="left"/>
            </w:pPr>
            <w:r>
              <w:t xml:space="preserve">6</w:t>
            </w:r>
          </w:p>
        </w:tc>
        <w:tc>
          <w:tcPr/>
          <w:p>
            <w:pPr>
              <w:pStyle w:val="Compact"/>
              <w:jc w:val="left"/>
            </w:pPr>
            <w:r>
              <w:t xml:space="preserve">Financial Analyst – Risk Assessment &amp; Sensitivity Analysis for Foreign Currency Exposure (BDT/USD)</w:t>
            </w:r>
          </w:p>
        </w:tc>
        <w:tc>
          <w:tcPr/>
          <w:p>
            <w:pPr>
              <w:pStyle w:val="Compact"/>
              <w:jc w:val="left"/>
            </w:pPr>
            <w:r>
              <w:t xml:space="preserve">3,000</w:t>
            </w:r>
          </w:p>
        </w:tc>
        <w:tc>
          <w:tcPr/>
          <w:p>
            <w:pPr>
              <w:pStyle w:val="Compact"/>
              <w:jc w:val="left"/>
            </w:pPr>
            <w:r>
              <w:t xml:space="preserve">20</w:t>
            </w:r>
          </w:p>
        </w:tc>
        <w:tc>
          <w:tcPr/>
          <w:p>
            <w:pPr>
              <w:pStyle w:val="Compact"/>
              <w:jc w:val="left"/>
            </w:pPr>
            <w:r>
              <w:t xml:space="preserve">60,000.00</w:t>
            </w:r>
          </w:p>
        </w:tc>
        <w:tc>
          <w:tcPr/>
          <w:p>
            <w:pPr>
              <w:pStyle w:val="Compact"/>
              <w:jc w:val="left"/>
            </w:pPr>
            <w:r>
              <w:t xml:space="preserve">MSA-2025/012, Clause 4.9</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464,800.00 BDT</w:t>
            </w:r>
          </w:p>
        </w:tc>
      </w:tr>
      <w:tr>
        <w:tc>
          <w:tcPr/>
          <w:p>
            <w:pPr>
              <w:pStyle w:val="Compact"/>
              <w:jc w:val="left"/>
            </w:pPr>
            <w:r>
              <w:t xml:space="preserve">VAT @ 15% (Bangladesh National Board of Revenue)</w:t>
            </w:r>
          </w:p>
        </w:tc>
        <w:tc>
          <w:tcPr/>
          <w:p>
            <w:pPr>
              <w:pStyle w:val="Compact"/>
              <w:jc w:val="left"/>
            </w:pPr>
            <w:r>
              <w:t xml:space="preserve">69,720.00 BDT</w:t>
            </w:r>
          </w:p>
        </w:tc>
      </w:tr>
      <w:tr>
        <w:tc>
          <w:tcPr/>
          <w:p>
            <w:pPr>
              <w:pStyle w:val="Compact"/>
              <w:jc w:val="left"/>
            </w:pPr>
            <w:r>
              <w:t xml:space="preserve">Service Tax @ 3% (NBR Regulation)</w:t>
            </w:r>
          </w:p>
        </w:tc>
        <w:tc>
          <w:tcPr/>
          <w:p>
            <w:pPr>
              <w:pStyle w:val="Compact"/>
              <w:jc w:val="left"/>
            </w:pPr>
            <w:r>
              <w:t xml:space="preserve">13,944.00 BDT</w:t>
            </w:r>
          </w:p>
        </w:tc>
      </w:tr>
      <w:tr>
        <w:tc>
          <w:tcPr/>
          <w:p>
            <w:pPr>
              <w:pStyle w:val="Compact"/>
              <w:jc w:val="left"/>
            </w:pPr>
            <w:r>
              <w:t xml:space="preserve">Discount (Early Payment – 2%)</w:t>
            </w:r>
          </w:p>
        </w:tc>
        <w:tc>
          <w:tcPr/>
          <w:p>
            <w:pPr>
              <w:pStyle w:val="Compact"/>
              <w:jc w:val="left"/>
            </w:pPr>
            <w:r>
              <w:t xml:space="preserve">(9,296.00) BDT</w:t>
            </w:r>
          </w:p>
        </w:tc>
      </w:tr>
      <w:tr>
        <w:tc>
          <w:tcPr/>
          <w:p>
            <w:pPr>
              <w:pStyle w:val="Compact"/>
              <w:jc w:val="left"/>
            </w:pPr>
            <w:r>
              <w:t xml:space="preserve">GRAND TOTAL DUE</w:t>
            </w:r>
          </w:p>
        </w:tc>
        <w:tc>
          <w:tcPr/>
          <w:p>
            <w:pPr>
              <w:pStyle w:val="Compact"/>
              <w:jc w:val="left"/>
            </w:pPr>
            <w:r>
              <w:t xml:space="preserve">539,168.00 BDT</w:t>
            </w:r>
          </w:p>
        </w:tc>
      </w:tr>
    </w:tbl>
    <w:bookmarkStart w:id="24" w:name="terms-conditions-of-this-invoice"/>
    <w:p>
      <w:pPr>
        <w:pStyle w:val="Heading3"/>
      </w:pPr>
      <w:r>
        <w:t xml:space="preserve">Terms &amp; Conditions of This Invoice</w:t>
      </w:r>
    </w:p>
    <w:p>
      <w:pPr>
        <w:numPr>
          <w:ilvl w:val="0"/>
          <w:numId w:val="1001"/>
        </w:numPr>
        <w:pStyle w:val="Compact"/>
      </w:pPr>
      <w:r>
        <w:t xml:space="preserve">This Invoice must be settled in full within fifteen (15) calendar days from the Invoice Date, i.e., no later than 30 June 2025. Payment is to be made in Bangladeshi Taka (BDT) via bank transfer to the account specified below.</w:t>
      </w:r>
    </w:p>
    <w:p>
      <w:pPr>
        <w:numPr>
          <w:ilvl w:val="0"/>
          <w:numId w:val="1001"/>
        </w:numPr>
        <w:pStyle w:val="Compact"/>
      </w:pPr>
      <w:r>
        <w:t xml:space="preserve">Failure to remit payment by the due date will attract a late payment surcharge of 1.5% per month, calculated on the outstanding balance, in accordance with the Bangladesh Financial Analyst Professional Code of Conduct and the terms of the Master Service Agreement.</w:t>
      </w:r>
    </w:p>
    <w:p>
      <w:pPr>
        <w:numPr>
          <w:ilvl w:val="0"/>
          <w:numId w:val="1001"/>
        </w:numPr>
        <w:pStyle w:val="Compact"/>
      </w:pPr>
      <w:r>
        <w:t xml:space="preserve">All services rendered by the Financial Analyst are subject to the confidentiality provisions outlined in Section 9 of the MSA. No portion of the analytical work, reports, or data produced during this engagement may be disclosed to third parties without prior written consent from Apex Financial Consulting Ltd., Bangladesh Dhaka.</w:t>
      </w:r>
    </w:p>
    <w:p>
      <w:pPr>
        <w:numPr>
          <w:ilvl w:val="0"/>
          <w:numId w:val="1001"/>
        </w:numPr>
        <w:pStyle w:val="Compact"/>
      </w:pPr>
      <w:r>
        <w:t xml:space="preserve">This Invoice is valid for ninety (90) days from the date of issue. After this period, the Invoice may be reissued with applicable price adjustments reflecting changes in the Bangladesh Dhaka cost-of-living index.</w:t>
      </w:r>
    </w:p>
    <w:p>
      <w:pPr>
        <w:numPr>
          <w:ilvl w:val="0"/>
          <w:numId w:val="1001"/>
        </w:numPr>
        <w:pStyle w:val="Compact"/>
      </w:pPr>
      <w:r>
        <w:t xml:space="preserve">Any disputes arising from this Invoice shall be resolved through arbitration in Bangladesh Dhaka in accordance with the Arbitration Act, 2001 of Bangladesh. The governing law for this Invoice and the underlying services is the law of the People's Republic of Bangladesh.</w:t>
      </w:r>
    </w:p>
    <w:p>
      <w:pPr>
        <w:numPr>
          <w:ilvl w:val="0"/>
          <w:numId w:val="1001"/>
        </w:numPr>
        <w:pStyle w:val="Compact"/>
      </w:pPr>
      <w:r>
        <w:t xml:space="preserve">The Financial Analyst's professional judgment and analytical outputs are provided in good faith and do not constitute a guarantee of future financial performance. This Invoice covers professional services only and does not include any investment advisory liability.</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Eastern Bank PLC, Bangladesh Dhaka</w:t>
      </w:r>
    </w:p>
    <w:p>
      <w:pPr>
        <w:pStyle w:val="BodyText"/>
      </w:pPr>
      <w:r>
        <w:rPr>
          <w:bCs/>
          <w:b/>
        </w:rPr>
        <w:t xml:space="preserve">Branch:</w:t>
      </w:r>
      <w:r>
        <w:t xml:space="preserve"> </w:t>
      </w:r>
      <w:r>
        <w:t xml:space="preserve">Banani Corporate Branch</w:t>
      </w:r>
    </w:p>
    <w:p>
      <w:pPr>
        <w:pStyle w:val="BodyText"/>
      </w:pPr>
      <w:r>
        <w:rPr>
          <w:bCs/>
          <w:b/>
        </w:rPr>
        <w:t xml:space="preserve">Account Name:</w:t>
      </w:r>
      <w:r>
        <w:t xml:space="preserve"> </w:t>
      </w:r>
      <w:r>
        <w:t xml:space="preserve">Apex Financial Consulting Ltd.</w:t>
      </w:r>
    </w:p>
    <w:p>
      <w:pPr>
        <w:pStyle w:val="BodyText"/>
      </w:pPr>
      <w:r>
        <w:rPr>
          <w:bCs/>
          <w:b/>
        </w:rPr>
        <w:t xml:space="preserve">Account No:</w:t>
      </w:r>
      <w:r>
        <w:t xml:space="preserve"> </w:t>
      </w:r>
      <w:r>
        <w:t xml:space="preserve">101-0045-6789-01</w:t>
      </w:r>
    </w:p>
    <w:p>
      <w:pPr>
        <w:pStyle w:val="BodyText"/>
      </w:pPr>
      <w:r>
        <w:rPr>
          <w:bCs/>
          <w:b/>
        </w:rPr>
        <w:t xml:space="preserve">SWIFT Code:</w:t>
      </w:r>
      <w:r>
        <w:t xml:space="preserve"> </w:t>
      </w:r>
      <w:r>
        <w:t xml:space="preserve">EBLBBD22</w:t>
      </w:r>
    </w:p>
    <w:p>
      <w:pPr>
        <w:pStyle w:val="BodyText"/>
      </w:pPr>
      <w:r>
        <w:rPr>
          <w:bCs/>
          <w:b/>
        </w:rPr>
        <w:t xml:space="preserve">Reference:</w:t>
      </w:r>
      <w:r>
        <w:t xml:space="preserve"> </w:t>
      </w:r>
      <w:r>
        <w:t xml:space="preserve">Please quote Invoice No. AFC/2025/BD-0472</w:t>
      </w:r>
    </w:p>
    <w:bookmarkEnd w:id="25"/>
    <w:bookmarkStart w:id="26" w:name="authorized-signatory"/>
    <w:p>
      <w:pPr>
        <w:pStyle w:val="Heading3"/>
      </w:pPr>
      <w:r>
        <w:t xml:space="preserve">Authorized Signatory</w:t>
      </w:r>
    </w:p>
    <w:p>
      <w:pPr>
        <w:pStyle w:val="FirstParagraph"/>
      </w:pPr>
      <w:r>
        <w:t xml:space="preserve">_______________________________</w:t>
      </w:r>
    </w:p>
    <w:p>
      <w:pPr>
        <w:pStyle w:val="BodyText"/>
      </w:pPr>
      <w:r>
        <w:rPr>
          <w:bCs/>
          <w:b/>
        </w:rPr>
        <w:t xml:space="preserve">Mr. Tanvir Ahmed</w:t>
      </w:r>
    </w:p>
    <w:p>
      <w:pPr>
        <w:pStyle w:val="BodyText"/>
      </w:pPr>
      <w:r>
        <w:t xml:space="preserve">Managing Director</w:t>
      </w:r>
    </w:p>
    <w:p>
      <w:pPr>
        <w:pStyle w:val="BodyText"/>
      </w:pPr>
      <w:r>
        <w:t xml:space="preserve">Apex Financial Consulting Ltd.</w:t>
      </w:r>
    </w:p>
    <w:p>
      <w:pPr>
        <w:pStyle w:val="BodyText"/>
      </w:pPr>
      <w:r>
        <w:t xml:space="preserve">Bangladesh Dhaka</w:t>
      </w:r>
    </w:p>
    <w:p>
      <w:pPr>
        <w:pStyle w:val="BodyText"/>
      </w:pPr>
      <w:r>
        <w:t xml:space="preserve">Date: 15 June 2025</w:t>
      </w:r>
    </w:p>
    <w:bookmarkEnd w:id="26"/>
    <w:p>
      <w:pPr>
        <w:pStyle w:val="BodyText"/>
      </w:pPr>
      <w:r>
        <w:t xml:space="preserve">This Invoice was generated by Apex Financial Consulting Ltd., a registered entity under the Registrar of Joint Stock Companies and Firms (RJSC), Bangladesh Dhaka.</w:t>
      </w:r>
      <w:r>
        <w:t xml:space="preserve"> </w:t>
      </w:r>
      <w:r>
        <w:t xml:space="preserve">Registration No: C-12345/2018. All services are delivered by a certified Financial Analyst in compliance with the Bangladesh Securities and Exchange Commission (BSEC) guidelines and the National Board of Revenue (NBR) tax regulations.</w:t>
      </w:r>
    </w:p>
    <w:p>
      <w:pPr>
        <w:pStyle w:val="BodyText"/>
      </w:pPr>
      <w:r>
        <w:t xml:space="preserve">Thank you for engaging our Financial Analyst team. We value your partnership and look forward to continuing our professional relationship in Bangladesh Dhaka.</w:t>
      </w:r>
      <w:r>
        <w:t xml:space="preserve"> </w:t>
      </w:r>
      <w:r>
        <w:t xml:space="preserve">For queries regarding this Invoice, please contact our billing department at billing@apexfinancialbd.com or +880-2-9887654 (Mon–Fri, 9:00 AM – 5:30 PM BST).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Bangladesh Dhaka</dc:title>
  <dc:creator/>
  <dc:language>en</dc:language>
  <cp:keywords/>
  <dcterms:created xsi:type="dcterms:W3CDTF">2026-10-10T07:02:36Z</dcterms:created>
  <dcterms:modified xsi:type="dcterms:W3CDTF">2026-10-10T07:02:36Z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