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financial-advisory-group"/>
    <w:p>
      <w:pPr>
        <w:pStyle w:val="Heading1"/>
      </w:pPr>
      <w:r>
        <w:t xml:space="preserve">Brussels Financial Advisory Group</w:t>
      </w:r>
    </w:p>
    <w:p>
      <w:pPr>
        <w:pStyle w:val="FirstParagraph"/>
      </w:pPr>
      <w:r>
        <w:t xml:space="preserve">Rue de la Loi / Wetstraat 142, 1040 Brussels, Belgium</w:t>
      </w:r>
    </w:p>
    <w:p>
      <w:pPr>
        <w:pStyle w:val="BodyText"/>
      </w:pPr>
      <w:r>
        <w:t xml:space="preserve">VAT No.: BE 0765.432.109</w:t>
      </w:r>
    </w:p>
    <w:p>
      <w:pPr>
        <w:pStyle w:val="BodyText"/>
      </w:pPr>
      <w:r>
        <w:t xml:space="preserve">Enterprise No.: 0765.432.109</w:t>
      </w:r>
    </w:p>
    <w:p>
      <w:pPr>
        <w:pStyle w:val="BodyText"/>
      </w:pPr>
      <w:r>
        <w:t xml:space="preserve">Tel: +32 2 555 0142 | Email: billing@brusselsfinancial.be</w:t>
      </w:r>
    </w:p>
    <w:bookmarkEnd w:id="20"/>
    <w:bookmarkStart w:id="21" w:name="invoice"/>
    <w:p>
      <w:pPr>
        <w:pStyle w:val="Heading2"/>
      </w:pPr>
      <w:r>
        <w:t xml:space="preserve">INVOICE</w:t>
      </w:r>
    </w:p>
    <w:p>
      <w:pPr>
        <w:pStyle w:val="FirstParagraph"/>
      </w:pPr>
      <w:r>
        <w:t xml:space="preserve">Invoice No.: BFA-2025-0047</w:t>
      </w:r>
    </w:p>
    <w:p>
      <w:pPr>
        <w:pStyle w:val="BodyText"/>
      </w:pPr>
      <w:r>
        <w:t xml:space="preserve">Issue 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Meridian Capital Partners NV</w:t>
      </w:r>
    </w:p>
    <w:p>
      <w:pPr>
        <w:pStyle w:val="BodyText"/>
      </w:pPr>
      <w:r>
        <w:t xml:space="preserve">Avenue Louise 235, 1050 Brussels, Belgium</w:t>
      </w:r>
    </w:p>
    <w:p>
      <w:pPr>
        <w:pStyle w:val="BodyText"/>
      </w:pPr>
      <w:r>
        <w:t xml:space="preserve">VAT No.: BE 0812.776.543</w:t>
      </w:r>
    </w:p>
    <w:p>
      <w:pPr>
        <w:pStyle w:val="BodyText"/>
      </w:pPr>
      <w:r>
        <w:t xml:space="preserve">Contact: Mr. Jan Vermeulen, CFO</w:t>
      </w:r>
    </w:p>
    <w:bookmarkEnd w:id="22"/>
    <w:bookmarkStart w:id="23" w:name="service-period"/>
    <w:p>
      <w:pPr>
        <w:pStyle w:val="Heading3"/>
      </w:pPr>
      <w:r>
        <w:t xml:space="preserve">Service Period</w:t>
      </w:r>
    </w:p>
    <w:p>
      <w:pPr>
        <w:pStyle w:val="FirstParagraph"/>
      </w:pPr>
      <w:r>
        <w:t xml:space="preserve">1 May 2025 – 31 May 2025</w:t>
      </w:r>
    </w:p>
    <w:bookmarkEnd w:id="23"/>
    <w:bookmarkStart w:id="24" w:name="project-reference"/>
    <w:p>
      <w:pPr>
        <w:pStyle w:val="Heading3"/>
      </w:pPr>
      <w:r>
        <w:t xml:space="preserve">Project Reference</w:t>
      </w:r>
    </w:p>
    <w:p>
      <w:pPr>
        <w:pStyle w:val="FirstParagraph"/>
      </w:pPr>
      <w:r>
        <w:t xml:space="preserve">Q2 2025 Financial Analysis &amp; Reporting</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Financial Analyst – Quarterly Financial Statement Analysis</w:t>
            </w:r>
            <w:r>
              <w:br/>
            </w:r>
            <w:r>
              <w:t xml:space="preserve">Comprehensive review and analysis of Q2 2025 financial statements for Meridian Capital Partners NV, including balance sheet reconciliation, income statement variance analysis, and cash flow forecasting. Performed by a certified Financial Analyst based in Belgium Brussels, in compliance with IFRS and Belgian GAAP standards.</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rPr>
                <w:bCs/>
                <w:b/>
              </w:rPr>
              <w:t xml:space="preserve">Financial Analyst – Risk Assessment &amp; Portfolio Performance Review</w:t>
            </w:r>
            <w:r>
              <w:br/>
            </w:r>
            <w:r>
              <w:t xml:space="preserve">Detailed risk assessment of the client's investment portfolio, including stress testing, sensitivity analysis, and benchmarking against European market indices. The Financial Analyst conducted this review in accordance with the regulatory framework established by the Belgian Financial Services and Markets Authority (FSMA) and applicable EU directives.</w:t>
            </w:r>
          </w:p>
        </w:tc>
        <w:tc>
          <w:tcPr/>
          <w:p>
            <w:pPr>
              <w:pStyle w:val="Compact"/>
              <w:jc w:val="left"/>
            </w:pPr>
            <w:r>
              <w:t xml:space="preserve">32</w:t>
            </w:r>
          </w:p>
        </w:tc>
        <w:tc>
          <w:tcPr/>
          <w:p>
            <w:pPr>
              <w:pStyle w:val="Compact"/>
              <w:jc w:val="left"/>
            </w:pPr>
            <w:r>
              <w:t xml:space="preserve">125.00</w:t>
            </w:r>
          </w:p>
        </w:tc>
        <w:tc>
          <w:tcPr/>
          <w:p>
            <w:pPr>
              <w:pStyle w:val="Compact"/>
              <w:jc w:val="left"/>
            </w:pPr>
            <w:r>
              <w:t xml:space="preserve">4,000.00</w:t>
            </w:r>
          </w:p>
        </w:tc>
      </w:tr>
      <w:tr>
        <w:tc>
          <w:tcPr/>
          <w:p>
            <w:pPr>
              <w:pStyle w:val="Compact"/>
              <w:jc w:val="left"/>
            </w:pPr>
            <w:r>
              <w:rPr>
                <w:bCs/>
                <w:b/>
              </w:rPr>
              <w:t xml:space="preserve">Financial Analyst – Regulatory Compliance Reporting (Belgium Brussels)</w:t>
            </w:r>
            <w:r>
              <w:br/>
            </w:r>
            <w:r>
              <w:t xml:space="preserve">Preparation of regulatory compliance reports required by the National Bank of Belgium and the FSMA. This engagement included the Financial Analyst's review of anti-money laundering (AML) procedures, transaction monitoring reports, and submission of mandatory filings to the relevant Belgian authorities in Brussels.</w:t>
            </w:r>
          </w:p>
        </w:tc>
        <w:tc>
          <w:tcPr/>
          <w:p>
            <w:pPr>
              <w:pStyle w:val="Compact"/>
              <w:jc w:val="left"/>
            </w:pPr>
            <w:r>
              <w:t xml:space="preserve">24</w:t>
            </w:r>
          </w:p>
        </w:tc>
        <w:tc>
          <w:tcPr/>
          <w:p>
            <w:pPr>
              <w:pStyle w:val="Compact"/>
              <w:jc w:val="left"/>
            </w:pPr>
            <w:r>
              <w:t xml:space="preserve">125.00</w:t>
            </w:r>
          </w:p>
        </w:tc>
        <w:tc>
          <w:tcPr/>
          <w:p>
            <w:pPr>
              <w:pStyle w:val="Compact"/>
              <w:jc w:val="left"/>
            </w:pPr>
            <w:r>
              <w:t xml:space="preserve">3,000.00</w:t>
            </w:r>
          </w:p>
        </w:tc>
      </w:tr>
      <w:tr>
        <w:tc>
          <w:tcPr/>
          <w:p>
            <w:pPr>
              <w:pStyle w:val="Compact"/>
              <w:jc w:val="left"/>
            </w:pPr>
            <w:r>
              <w:rPr>
                <w:bCs/>
                <w:b/>
              </w:rPr>
              <w:t xml:space="preserve">Financial Analyst – Strategic Advisory &amp; Board Presentation Support</w:t>
            </w:r>
            <w:r>
              <w:br/>
            </w:r>
            <w:r>
              <w:t xml:space="preserve">The Financial Analyst provided strategic advisory services to the board of directors of Meridian Capital Partners NV, including preparation of executive summaries, financial modelling for potential acquisitions in the Belgium Brussels metropolitan area, and support for the quarterly board meeting held on 28 May 2025.</w:t>
            </w:r>
          </w:p>
        </w:tc>
        <w:tc>
          <w:tcPr/>
          <w:p>
            <w:pPr>
              <w:pStyle w:val="Compact"/>
              <w:jc w:val="left"/>
            </w:pPr>
            <w:r>
              <w:t xml:space="preserve">16</w:t>
            </w:r>
          </w:p>
        </w:tc>
        <w:tc>
          <w:tcPr/>
          <w:p>
            <w:pPr>
              <w:pStyle w:val="Compact"/>
              <w:jc w:val="left"/>
            </w:pPr>
            <w:r>
              <w:t xml:space="preserve">125.00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15,000.00 EUR</w:t>
            </w:r>
          </w:p>
        </w:tc>
      </w:tr>
      <w:tr>
        <w:tc>
          <w:tcPr/>
          <w:p>
            <w:pPr>
              <w:pStyle w:val="Compact"/>
              <w:jc w:val="left"/>
            </w:pPr>
            <w:r>
              <w:t xml:space="preserve">VAT (21% – Belgian Standard Rate)</w:t>
            </w:r>
          </w:p>
        </w:tc>
        <w:tc>
          <w:tcPr/>
          <w:p>
            <w:pPr>
              <w:pStyle w:val="Compact"/>
              <w:jc w:val="left"/>
            </w:pPr>
            <w:r>
              <w:t xml:space="preserve">3,150.00 EUR</w:t>
            </w:r>
          </w:p>
        </w:tc>
      </w:tr>
      <w:tr>
        <w:tc>
          <w:tcPr/>
          <w:p>
            <w:pPr>
              <w:pStyle w:val="Compact"/>
              <w:jc w:val="left"/>
            </w:pPr>
            <w:r>
              <w:t xml:space="preserve">Total Amount Due</w:t>
            </w:r>
          </w:p>
        </w:tc>
        <w:tc>
          <w:tcPr/>
          <w:p>
            <w:pPr>
              <w:pStyle w:val="Compact"/>
              <w:jc w:val="left"/>
            </w:pPr>
            <w:r>
              <w:t xml:space="preserve">18,150.00 EUR</w:t>
            </w:r>
          </w:p>
        </w:tc>
      </w:tr>
    </w:tbl>
    <w:bookmarkStart w:id="25" w:name="payment-instructions"/>
    <w:p>
      <w:pPr>
        <w:pStyle w:val="Heading3"/>
      </w:pPr>
      <w:r>
        <w:t xml:space="preserve">Payment Instructions</w:t>
      </w:r>
    </w:p>
    <w:p>
      <w:pPr>
        <w:pStyle w:val="FirstParagraph"/>
      </w:pPr>
      <w:r>
        <w:rPr>
          <w:bCs/>
          <w:b/>
        </w:rPr>
        <w:t xml:space="preserve">Bank:</w:t>
      </w:r>
      <w:r>
        <w:t xml:space="preserve"> </w:t>
      </w:r>
      <w:r>
        <w:t xml:space="preserve">BNP Paribas Fortis, Brussels Branch</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GEBABEBB</w:t>
      </w:r>
    </w:p>
    <w:p>
      <w:pPr>
        <w:pStyle w:val="BodyText"/>
      </w:pPr>
      <w:r>
        <w:rPr>
          <w:bCs/>
          <w:b/>
        </w:rPr>
        <w:t xml:space="preserve">Reference:</w:t>
      </w:r>
      <w:r>
        <w:t xml:space="preserve"> </w:t>
      </w:r>
      <w:r>
        <w:t xml:space="preserve">BFA-2025-0047 / Meridian Capital Partners NV</w:t>
      </w:r>
    </w:p>
    <w:p>
      <w:pPr>
        <w:pStyle w:val="BodyText"/>
      </w:pPr>
      <w:r>
        <w:rPr>
          <w:bCs/>
          <w:b/>
        </w:rPr>
        <w:t xml:space="preserve">Payment Method:</w:t>
      </w:r>
      <w:r>
        <w:t xml:space="preserve"> </w:t>
      </w:r>
      <w:r>
        <w:t xml:space="preserve">SEPA Bank Transfer (EUR)</w:t>
      </w:r>
    </w:p>
    <w:p>
      <w:pPr>
        <w:pStyle w:val="BodyText"/>
      </w:pPr>
      <w:r>
        <w:rPr>
          <w:bCs/>
          <w:b/>
        </w:rPr>
        <w:t xml:space="preserve">Due Date:</w:t>
      </w:r>
      <w:r>
        <w:t xml:space="preserve"> </w:t>
      </w:r>
      <w:r>
        <w:t xml:space="preserve">15 July 2025 (30 days from invoice date)</w:t>
      </w:r>
    </w:p>
    <w:p>
      <w:pPr>
        <w:pStyle w:val="BodyText"/>
      </w:pPr>
      <w:r>
        <w:rPr>
          <w:bCs/>
          <w:b/>
        </w:rPr>
        <w:t xml:space="preserve">Penalty:</w:t>
      </w:r>
      <w:r>
        <w:t xml:space="preserve"> </w:t>
      </w:r>
      <w:r>
        <w:t xml:space="preserve">In accordance with Belgian law (Royal Decree No. 128 of 27 July 2004), a late payment penalty of 10% per annum shall apply to overdue amounts, in addition to a fixed indemnity of 40 EUR for collection costs.</w:t>
      </w:r>
    </w:p>
    <w:bookmarkEnd w:id="25"/>
    <w:bookmarkStart w:id="26" w:name="terms-conditions-legal-notice"/>
    <w:p>
      <w:pPr>
        <w:pStyle w:val="Heading3"/>
      </w:pPr>
      <w:r>
        <w:t xml:space="preserve">Terms, Conditions &amp; Legal Notice</w:t>
      </w:r>
    </w:p>
    <w:p>
      <w:pPr>
        <w:pStyle w:val="FirstParagraph"/>
      </w:pPr>
      <w:r>
        <w:t xml:space="preserve">This Invoice is issued by Brussels Financial Advisory Group, a company registered with the Crossroads Bank for Enterprises (KBO/CBE) under number 0765.432.109, with its registered office located at Rue de la Loi 142, 1040 Brussels, Belgium. All services rendered by our Financial Analyst team are governed by the Belgian Code of Economic Law and the applicable provisions of the Belgian Civil Code.</w:t>
      </w:r>
    </w:p>
    <w:p>
      <w:pPr>
        <w:pStyle w:val="BodyText"/>
      </w:pPr>
      <w:r>
        <w:t xml:space="preserve">The Financial Analyst services described in this Invoice were performed in full compliance with the professional standards set by the Belgian Institute of Chartered Accountants and Tax Advisors (IBEC) and the International Federation of Accountants (IFAC). All analyses, reports, and advisory work conducted by the Financial Analyst are subject to strict confidentiality obligations under Belgian data protection legislation (Law of 30 July 2018) and the EU General Data Protection Regulation (GDPR).</w:t>
      </w:r>
    </w:p>
    <w:p>
      <w:pPr>
        <w:pStyle w:val="BodyText"/>
      </w:pPr>
      <w:r>
        <w:t xml:space="preserve">This Invoice constitutes a formal request for payment for professional Financial Analyst services rendered in Belgium Brussels during the period specified above. The client acknowledges that the Financial Analyst's work products, including but not limited to financial models, risk assessments, and compliance reports, remain the intellectual property of Brussels Financial Advisory Group unless otherwise agreed in writing. The client is granted a non-exclusive, non-transferable licence to use the deliverables solely for internal business purposes.</w:t>
      </w:r>
    </w:p>
    <w:p>
      <w:pPr>
        <w:pStyle w:val="BodyText"/>
      </w:pPr>
      <w:r>
        <w:t xml:space="preserve">Any disputes arising from this Invoice or the underlying Financial Analyst engagement shall be subject to the exclusive jurisdiction of the Commercial Court of Brussels, Belgium. This Invoice is governed by the laws of the Kingdom of Belgium. The client is advised to retain this Invoice for a minimum period of ten (10) years in accordance with Belgian tax and accounting record-keeping requirements as stipulated in the Belgian Income Tax Code (Article 1.45.0.1).</w:t>
      </w:r>
    </w:p>
    <w:p>
      <w:pPr>
        <w:pStyle w:val="BodyText"/>
      </w:pPr>
      <w:r>
        <w:t xml:space="preserve">Brussels Financial Advisory Group confirms that this Invoice has been issued in accordance with the Belgian VAT Code (Code de la TVA / Wet op de omzetbelasting) and the Royal Decree of 20 December 2017 on electronic invoicing. The VAT identification number of the supplier and the client are stated on this Invoice as required by Article 323 of the Belgian VAT Code.</w:t>
      </w:r>
    </w:p>
    <w:bookmarkEnd w:id="26"/>
    <w:p>
      <w:pPr>
        <w:pStyle w:val="BodyText"/>
      </w:pPr>
      <w:r>
        <w:t xml:space="preserve">Brussels Financial Advisory Group – Rue de la Loi 142, 1040 Brussels, Belgium | VAT BE 0765.432.109</w:t>
      </w:r>
    </w:p>
    <w:p>
      <w:pPr>
        <w:pStyle w:val="BodyText"/>
      </w:pPr>
      <w:r>
        <w:t xml:space="preserve">This Invoice was generated electronically and is valid without a physical signature in accordance with Belgian e-invoicing regulations.</w:t>
      </w:r>
    </w:p>
    <w:p>
      <w:pPr>
        <w:pStyle w:val="BodyText"/>
      </w:pPr>
      <w:r>
        <w:t xml:space="preserve">For queries regarding this Invoice, please contact our billing department at billing@brusselsfinancial.be or +32 2 555 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Belgium Brussels</dc:title>
  <dc:creator/>
  <dc:language>en</dc:language>
  <cp:keywords/>
  <dcterms:created xsi:type="dcterms:W3CDTF">2026-10-10T06:42:24Z</dcterms:created>
  <dcterms:modified xsi:type="dcterms:W3CDTF">2026-10-10T06:42:24Z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