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meridian-financial-advisory-group-inc."/>
    <w:p>
      <w:pPr>
        <w:pStyle w:val="Heading1"/>
      </w:pPr>
      <w:r>
        <w:t xml:space="preserve">Meridian Financial Advisory Group Inc.</w:t>
      </w:r>
    </w:p>
    <w:p>
      <w:pPr>
        <w:pStyle w:val="FirstParagraph"/>
      </w:pPr>
      <w:r>
        <w:t xml:space="preserve">455 Rue Sainte-Catherine Ouest, Suite 1200</w:t>
      </w:r>
    </w:p>
    <w:p>
      <w:pPr>
        <w:pStyle w:val="BodyText"/>
      </w:pPr>
      <w:r>
        <w:t xml:space="preserve">Montreal, Quebec, Canada H3B 3L8</w:t>
      </w:r>
    </w:p>
    <w:p>
      <w:pPr>
        <w:pStyle w:val="BodyText"/>
      </w:pPr>
      <w:r>
        <w:t xml:space="preserve">Phone: +1 (514) 555-0192</w:t>
      </w:r>
    </w:p>
    <w:p>
      <w:pPr>
        <w:pStyle w:val="BodyText"/>
      </w:pPr>
      <w:r>
        <w:t xml:space="preserve">Email: billing@meridianfinancial.ca</w:t>
      </w:r>
    </w:p>
    <w:p>
      <w:pPr>
        <w:pStyle w:val="BodyText"/>
      </w:pPr>
      <w:r>
        <w:t xml:space="preserve">QST No.: 123456789Q0001 | GST No.: 123456789RT0001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MFG-2025-0487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t xml:space="preserve">PENDING PAYMENT</w:t>
      </w:r>
    </w:p>
    <w:bookmarkEnd w:id="21"/>
    <w:bookmarkStart w:id="22" w:name="bill-to"/>
    <w:p>
      <w:pPr>
        <w:pStyle w:val="Heading3"/>
      </w:pPr>
      <w:r>
        <w:t xml:space="preserve">Bill To</w:t>
      </w:r>
    </w:p>
    <w:p>
      <w:pPr>
        <w:pStyle w:val="FirstParagraph"/>
      </w:pPr>
      <w:r>
        <w:t xml:space="preserve">Concordia Capital Partners Ltd.</w:t>
      </w:r>
    </w:p>
    <w:p>
      <w:pPr>
        <w:pStyle w:val="BodyText"/>
      </w:pPr>
      <w:r>
        <w:t xml:space="preserve">Attn: Mr. Laurent Deschamps, CFO</w:t>
      </w:r>
    </w:p>
    <w:p>
      <w:pPr>
        <w:pStyle w:val="BodyText"/>
      </w:pPr>
      <w:r>
        <w:t xml:space="preserve">1200 Boulevard René-Lévesque Ouest</w:t>
      </w:r>
    </w:p>
    <w:p>
      <w:pPr>
        <w:pStyle w:val="BodyText"/>
      </w:pPr>
      <w:r>
        <w:t xml:space="preserve">Montreal, Quebec, Canada H3B 4W8</w:t>
      </w:r>
    </w:p>
    <w:p>
      <w:pPr>
        <w:pStyle w:val="BodyText"/>
      </w:pPr>
      <w:r>
        <w:t xml:space="preserve">Phone: +1 (514) 555-0347</w:t>
      </w:r>
    </w:p>
    <w:p>
      <w:pPr>
        <w:pStyle w:val="BodyText"/>
      </w:pPr>
      <w:r>
        <w:t xml:space="preserve">Email: l.deschamps@concordiacapital.ca</w:t>
      </w:r>
    </w:p>
    <w:bookmarkEnd w:id="22"/>
    <w:bookmarkStart w:id="23" w:name="prepared-by"/>
    <w:p>
      <w:pPr>
        <w:pStyle w:val="Heading3"/>
      </w:pPr>
      <w:r>
        <w:t xml:space="preserve">Prepared By</w:t>
      </w:r>
    </w:p>
    <w:p>
      <w:pPr>
        <w:pStyle w:val="FirstParagraph"/>
      </w:pPr>
      <w:r>
        <w:t xml:space="preserve">Sarah Tremblay, CFA, CMA</w:t>
      </w:r>
    </w:p>
    <w:p>
      <w:pPr>
        <w:pStyle w:val="BodyText"/>
      </w:pPr>
      <w:r>
        <w:t xml:space="preserve">Senior Financial Analyst</w:t>
      </w:r>
    </w:p>
    <w:p>
      <w:pPr>
        <w:pStyle w:val="BodyText"/>
      </w:pPr>
      <w:r>
        <w:t xml:space="preserve">Meridian Financial Advisory Group Inc.</w:t>
      </w:r>
    </w:p>
    <w:p>
      <w:pPr>
        <w:pStyle w:val="BodyText"/>
      </w:pPr>
      <w:r>
        <w:t xml:space="preserve">Montreal, Quebec, Canada</w:t>
      </w:r>
    </w:p>
    <w:p>
      <w:pPr>
        <w:pStyle w:val="BodyText"/>
      </w:pPr>
      <w:r>
        <w:t xml:space="preserve">Phone: +1 (514) 555-0193</w:t>
      </w:r>
    </w:p>
    <w:p>
      <w:pPr>
        <w:pStyle w:val="BodyText"/>
      </w:pPr>
      <w:r>
        <w:t xml:space="preserve">Email: s.tremblay@meridianfinancial.ca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(CAD)</w:t>
            </w:r>
          </w:p>
        </w:tc>
        <w:tc>
          <w:tcPr/>
          <w:p>
            <w:pPr>
              <w:pStyle w:val="Compact"/>
              <w:jc w:val="left"/>
            </w:pPr>
            <w:r>
              <w:t xml:space="preserve">Hours</w:t>
            </w:r>
          </w:p>
        </w:tc>
        <w:tc>
          <w:tcPr/>
          <w:p>
            <w:pPr>
              <w:pStyle w:val="Compact"/>
              <w:jc w:val="left"/>
            </w:pPr>
            <w:r>
              <w:t xml:space="preserve">Subtotal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Financial Analyst – Quarterly Portfolio Performance Analysis and Risk Assessment for institutional investment accounts managed by Concordia Capital Partners in Canada Montreal</w:t>
            </w:r>
          </w:p>
        </w:tc>
        <w:tc>
          <w:tcPr/>
          <w:p>
            <w:pPr>
              <w:pStyle w:val="Compact"/>
              <w:jc w:val="left"/>
            </w:pPr>
            <w:r>
              <w:t xml:space="preserve">$185.00</w:t>
            </w:r>
          </w:p>
        </w:tc>
        <w:tc>
          <w:tcPr/>
          <w:p>
            <w:pPr>
              <w:pStyle w:val="Compact"/>
              <w:jc w:val="left"/>
            </w:pPr>
            <w:r>
              <w:t xml:space="preserve">24.0</w:t>
            </w:r>
          </w:p>
        </w:tc>
        <w:tc>
          <w:tcPr/>
          <w:p>
            <w:pPr>
              <w:pStyle w:val="Compact"/>
              <w:jc w:val="left"/>
            </w:pPr>
            <w:r>
              <w:t xml:space="preserve">$4,440.00</w:t>
            </w:r>
          </w:p>
        </w:tc>
        <w:tc>
          <w:tcPr/>
          <w:p>
            <w:pPr>
              <w:pStyle w:val="Compact"/>
              <w:jc w:val="left"/>
            </w:pPr>
            <w:r>
              <w:t xml:space="preserve">$4,440.00</w:t>
            </w:r>
          </w:p>
        </w:tc>
      </w:tr>
      <w:tr>
        <w:tc>
          <w:tcPr/>
          <w:p>
            <w:pPr>
              <w:pStyle w:val="Compact"/>
              <w:jc w:val="left"/>
            </w:pPr>
            <w:r>
              <w:t xml:space="preserve">2</w:t>
            </w:r>
          </w:p>
        </w:tc>
        <w:tc>
          <w:tcPr/>
          <w:p>
            <w:pPr>
              <w:pStyle w:val="Compact"/>
              <w:jc w:val="left"/>
            </w:pPr>
            <w:r>
              <w:t xml:space="preserve">Financial Analyst – Preparation of Monthly Cash Flow Projections and Liquidity Reports for the fiscal quarter ending May 31, 2025, delivered to the Montreal headquarters office</w:t>
            </w:r>
          </w:p>
        </w:tc>
        <w:tc>
          <w:tcPr/>
          <w:p>
            <w:pPr>
              <w:pStyle w:val="Compact"/>
              <w:jc w:val="left"/>
            </w:pPr>
            <w:r>
              <w:t xml:space="preserve">$185.00</w:t>
            </w:r>
          </w:p>
        </w:tc>
        <w:tc>
          <w:tcPr/>
          <w:p>
            <w:pPr>
              <w:pStyle w:val="Compact"/>
              <w:jc w:val="left"/>
            </w:pPr>
            <w:r>
              <w:t xml:space="preserve">16.0</w:t>
            </w:r>
          </w:p>
        </w:tc>
        <w:tc>
          <w:tcPr/>
          <w:p>
            <w:pPr>
              <w:pStyle w:val="Compact"/>
              <w:jc w:val="left"/>
            </w:pPr>
            <w:r>
              <w:t xml:space="preserve">$2,960.00</w:t>
            </w:r>
          </w:p>
        </w:tc>
        <w:tc>
          <w:tcPr/>
          <w:p>
            <w:pPr>
              <w:pStyle w:val="Compact"/>
              <w:jc w:val="left"/>
            </w:pPr>
            <w:r>
              <w:t xml:space="preserve">$2,960.00</w:t>
            </w:r>
          </w:p>
        </w:tc>
      </w:tr>
      <w:tr>
        <w:tc>
          <w:tcPr/>
          <w:p>
            <w:pPr>
              <w:pStyle w:val="Compact"/>
              <w:jc w:val="left"/>
            </w:pPr>
            <w:r>
              <w:t xml:space="preserve">3</w:t>
            </w:r>
          </w:p>
        </w:tc>
        <w:tc>
          <w:tcPr/>
          <w:p>
            <w:pPr>
              <w:pStyle w:val="Compact"/>
              <w:jc w:val="left"/>
            </w:pPr>
            <w:r>
              <w:t xml:space="preserve">Financial Analyst – Due Diligence Financial Modelling and Valuation Analysis for proposed acquisition target in the Quebec manufacturing sector</w:t>
            </w:r>
          </w:p>
        </w:tc>
        <w:tc>
          <w:tcPr/>
          <w:p>
            <w:pPr>
              <w:pStyle w:val="Compact"/>
              <w:jc w:val="left"/>
            </w:pPr>
            <w:r>
              <w:t xml:space="preserve">$210.00</w:t>
            </w:r>
          </w:p>
        </w:tc>
        <w:tc>
          <w:tcPr/>
          <w:p>
            <w:pPr>
              <w:pStyle w:val="Compact"/>
              <w:jc w:val="left"/>
            </w:pPr>
            <w:r>
              <w:t xml:space="preserve">32.0</w:t>
            </w:r>
          </w:p>
        </w:tc>
        <w:tc>
          <w:tcPr/>
          <w:p>
            <w:pPr>
              <w:pStyle w:val="Compact"/>
              <w:jc w:val="left"/>
            </w:pPr>
            <w:r>
              <w:t xml:space="preserve">$6,720.00</w:t>
            </w:r>
          </w:p>
        </w:tc>
        <w:tc>
          <w:tcPr/>
          <w:p>
            <w:pPr>
              <w:pStyle w:val="Compact"/>
              <w:jc w:val="left"/>
            </w:pPr>
            <w:r>
              <w:t xml:space="preserve">$6,720.00</w:t>
            </w:r>
          </w:p>
        </w:tc>
      </w:tr>
      <w:tr>
        <w:tc>
          <w:tcPr/>
          <w:p>
            <w:pPr>
              <w:pStyle w:val="Compact"/>
              <w:jc w:val="left"/>
            </w:pPr>
            <w:r>
              <w:t xml:space="preserve">4</w:t>
            </w:r>
          </w:p>
        </w:tc>
        <w:tc>
          <w:tcPr/>
          <w:p>
            <w:pPr>
              <w:pStyle w:val="Compact"/>
              <w:jc w:val="left"/>
            </w:pPr>
            <w:r>
              <w:t xml:space="preserve">Financial Analyst – Regulatory Compliance Review and IFRS Reconciliation for annual reporting obligations under Canadian securities legislation applicable to entities operating in Canada Montreal</w:t>
            </w:r>
          </w:p>
        </w:tc>
        <w:tc>
          <w:tcPr/>
          <w:p>
            <w:pPr>
              <w:pStyle w:val="Compact"/>
              <w:jc w:val="left"/>
            </w:pPr>
            <w:r>
              <w:t xml:space="preserve">$195.00</w:t>
            </w:r>
          </w:p>
        </w:tc>
        <w:tc>
          <w:tcPr/>
          <w:p>
            <w:pPr>
              <w:pStyle w:val="Compact"/>
              <w:jc w:val="left"/>
            </w:pPr>
            <w:r>
              <w:t xml:space="preserve">12.0</w:t>
            </w:r>
          </w:p>
        </w:tc>
        <w:tc>
          <w:tcPr/>
          <w:p>
            <w:pPr>
              <w:pStyle w:val="Compact"/>
              <w:jc w:val="left"/>
            </w:pPr>
            <w:r>
              <w:t xml:space="preserve">$2,340.00</w:t>
            </w:r>
          </w:p>
        </w:tc>
        <w:tc>
          <w:tcPr/>
          <w:p>
            <w:pPr>
              <w:pStyle w:val="Compact"/>
              <w:jc w:val="left"/>
            </w:pPr>
            <w:r>
              <w:t xml:space="preserve">$2,340.00</w:t>
            </w:r>
          </w:p>
        </w:tc>
      </w:tr>
      <w:tr>
        <w:tc>
          <w:tcPr/>
          <w:p>
            <w:pPr>
              <w:pStyle w:val="Compact"/>
              <w:jc w:val="left"/>
            </w:pPr>
            <w:r>
              <w:t xml:space="preserve">5</w:t>
            </w:r>
          </w:p>
        </w:tc>
        <w:tc>
          <w:tcPr/>
          <w:p>
            <w:pPr>
              <w:pStyle w:val="Compact"/>
              <w:jc w:val="left"/>
            </w:pPr>
            <w:r>
              <w:t xml:space="preserve">Financial Analyst – Ad-hoc Board Presentation Support: preparation of executive summary slides, variance analysis commentary, and Q2 2025 budget-to-actual comparison for the Montreal board meeting held on May 28, 2025</w:t>
            </w:r>
          </w:p>
        </w:tc>
        <w:tc>
          <w:tcPr/>
          <w:p>
            <w:pPr>
              <w:pStyle w:val="Compact"/>
              <w:jc w:val="left"/>
            </w:pPr>
            <w:r>
              <w:t xml:space="preserve">$175.00</w:t>
            </w:r>
          </w:p>
        </w:tc>
        <w:tc>
          <w:tcPr/>
          <w:p>
            <w:pPr>
              <w:pStyle w:val="Compact"/>
              <w:jc w:val="left"/>
            </w:pPr>
            <w:r>
              <w:t xml:space="preserve">8.0</w:t>
            </w:r>
          </w:p>
        </w:tc>
        <w:tc>
          <w:tcPr/>
          <w:p>
            <w:pPr>
              <w:pStyle w:val="Compact"/>
              <w:jc w:val="left"/>
            </w:pPr>
            <w:r>
              <w:t xml:space="preserve">$1,400.00</w:t>
            </w:r>
          </w:p>
        </w:tc>
        <w:tc>
          <w:tcPr/>
          <w:p>
            <w:pPr>
              <w:pStyle w:val="Compact"/>
              <w:jc w:val="left"/>
            </w:pPr>
            <w:r>
              <w:t xml:space="preserve">$1,400.00</w:t>
            </w:r>
          </w:p>
        </w:tc>
      </w:tr>
      <w:tr>
        <w:tc>
          <w:tcPr/>
          <w:p>
            <w:pPr>
              <w:pStyle w:val="Compact"/>
              <w:jc w:val="left"/>
            </w:pPr>
            <w:r>
              <w:t xml:space="preserve">6</w:t>
            </w:r>
          </w:p>
        </w:tc>
        <w:tc>
          <w:tcPr/>
          <w:p>
            <w:pPr>
              <w:pStyle w:val="Compact"/>
              <w:jc w:val="left"/>
            </w:pPr>
            <w:r>
              <w:t xml:space="preserve">Financial Analyst – Ongoing Advisory and Email Consultation: response to ad-hoc financial queries, market commentary, and strategic guidance provided to the Concordia Capital Partners management team throughout May 2025</w:t>
            </w:r>
          </w:p>
        </w:tc>
        <w:tc>
          <w:tcPr/>
          <w:p>
            <w:pPr>
              <w:pStyle w:val="Compact"/>
              <w:jc w:val="left"/>
            </w:pPr>
            <w:r>
              <w:t xml:space="preserve">$160.00</w:t>
            </w:r>
          </w:p>
        </w:tc>
        <w:tc>
          <w:tcPr/>
          <w:p>
            <w:pPr>
              <w:pStyle w:val="Compact"/>
              <w:jc w:val="left"/>
            </w:pPr>
            <w:r>
              <w:t xml:space="preserve">6.0</w:t>
            </w:r>
          </w:p>
        </w:tc>
        <w:tc>
          <w:tcPr/>
          <w:p>
            <w:pPr>
              <w:pStyle w:val="Compact"/>
              <w:jc w:val="left"/>
            </w:pPr>
            <w:r>
              <w:t xml:space="preserve">$960.00</w:t>
            </w:r>
          </w:p>
        </w:tc>
        <w:tc>
          <w:tcPr/>
          <w:p>
            <w:pPr>
              <w:pStyle w:val="Compact"/>
              <w:jc w:val="left"/>
            </w:pPr>
            <w:r>
              <w:t xml:space="preserve">$960.00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$18,820.00</w:t>
            </w:r>
          </w:p>
        </w:tc>
      </w:tr>
      <w:tr>
        <w:tc>
          <w:tcPr/>
          <w:p>
            <w:pPr>
              <w:pStyle w:val="Compact"/>
              <w:jc w:val="left"/>
            </w:pPr>
            <w:r>
              <w:t xml:space="preserve">GST (5%) – Canada Federal</w:t>
            </w:r>
          </w:p>
        </w:tc>
        <w:tc>
          <w:tcPr/>
          <w:p>
            <w:pPr>
              <w:pStyle w:val="Compact"/>
              <w:jc w:val="left"/>
            </w:pPr>
            <w:r>
              <w:t xml:space="preserve">$941.00</w:t>
            </w:r>
          </w:p>
        </w:tc>
      </w:tr>
      <w:tr>
        <w:tc>
          <w:tcPr/>
          <w:p>
            <w:pPr>
              <w:pStyle w:val="Compact"/>
              <w:jc w:val="left"/>
            </w:pPr>
            <w:r>
              <w:t xml:space="preserve">QST (9.975%) – Quebec Provincial</w:t>
            </w:r>
          </w:p>
        </w:tc>
        <w:tc>
          <w:tcPr/>
          <w:p>
            <w:pPr>
              <w:pStyle w:val="Compact"/>
              <w:jc w:val="left"/>
            </w:pPr>
            <w:r>
              <w:t xml:space="preserve">$1,877.30</w:t>
            </w:r>
          </w:p>
        </w:tc>
      </w:tr>
      <w:tr>
        <w:tc>
          <w:tcPr/>
          <w:p>
            <w:pPr>
              <w:pStyle w:val="Compact"/>
              <w:jc w:val="left"/>
            </w:pPr>
            <w:r>
              <w:t xml:space="preserve">Total Amount Due (CAD)</w:t>
            </w:r>
          </w:p>
        </w:tc>
        <w:tc>
          <w:tcPr/>
          <w:p>
            <w:pPr>
              <w:pStyle w:val="Compact"/>
              <w:jc w:val="left"/>
            </w:pPr>
            <w:r>
              <w:t xml:space="preserve">$21,638.30</w:t>
            </w:r>
          </w:p>
        </w:tc>
      </w:tr>
    </w:tbl>
    <w:bookmarkStart w:id="24" w:name="payment-instructions"/>
    <w:p>
      <w:pPr>
        <w:pStyle w:val="Heading3"/>
      </w:pPr>
      <w:r>
        <w:t xml:space="preserve">Payment Instructions</w:t>
      </w:r>
    </w:p>
    <w:p>
      <w:pPr>
        <w:pStyle w:val="FirstParagraph"/>
      </w:pPr>
      <w:r>
        <w:rPr>
          <w:bCs/>
          <w:b/>
        </w:rPr>
        <w:t xml:space="preserve">Method:</w:t>
      </w:r>
      <w:r>
        <w:t xml:space="preserve"> </w:t>
      </w:r>
      <w:r>
        <w:t xml:space="preserve">Electronic Funds Transfer (EFT) / Wire Transfer</w:t>
      </w:r>
    </w:p>
    <w:p>
      <w:pPr>
        <w:pStyle w:val="BodyText"/>
      </w:pPr>
      <w:r>
        <w:rPr>
          <w:bCs/>
          <w:b/>
        </w:rPr>
        <w:t xml:space="preserve">Bank:</w:t>
      </w:r>
      <w:r>
        <w:t xml:space="preserve"> </w:t>
      </w:r>
      <w:r>
        <w:t xml:space="preserve">National Bank of Canada – Montreal Branch</w:t>
      </w:r>
    </w:p>
    <w:p>
      <w:pPr>
        <w:pStyle w:val="BodyText"/>
      </w:pPr>
      <w:r>
        <w:rPr>
          <w:bCs/>
          <w:b/>
        </w:rPr>
        <w:t xml:space="preserve">Account Name:</w:t>
      </w:r>
      <w:r>
        <w:t xml:space="preserve"> </w:t>
      </w:r>
      <w:r>
        <w:t xml:space="preserve">Meridian Financial Advisory Group Inc.</w:t>
      </w:r>
    </w:p>
    <w:p>
      <w:pPr>
        <w:pStyle w:val="BodyText"/>
      </w:pPr>
      <w:r>
        <w:rPr>
          <w:bCs/>
          <w:b/>
        </w:rPr>
        <w:t xml:space="preserve">Transit No.:</w:t>
      </w:r>
      <w:r>
        <w:t xml:space="preserve"> </w:t>
      </w:r>
      <w:r>
        <w:t xml:space="preserve">00012 |</w:t>
      </w:r>
      <w:r>
        <w:t xml:space="preserve"> </w:t>
      </w:r>
      <w:r>
        <w:rPr>
          <w:bCs/>
          <w:b/>
        </w:rPr>
        <w:t xml:space="preserve">Institution No.:</w:t>
      </w:r>
      <w:r>
        <w:t xml:space="preserve"> </w:t>
      </w:r>
      <w:r>
        <w:t xml:space="preserve">001 |</w:t>
      </w:r>
      <w:r>
        <w:t xml:space="preserve"> </w:t>
      </w:r>
      <w:r>
        <w:rPr>
          <w:bCs/>
          <w:b/>
        </w:rPr>
        <w:t xml:space="preserve">Account No.:</w:t>
      </w:r>
      <w:r>
        <w:t xml:space="preserve"> </w:t>
      </w:r>
      <w:r>
        <w:t xml:space="preserve">4587213</w:t>
      </w:r>
    </w:p>
    <w:p>
      <w:pPr>
        <w:pStyle w:val="BodyText"/>
      </w:pPr>
      <w:r>
        <w:rPr>
          <w:bCs/>
          <w:b/>
        </w:rPr>
        <w:t xml:space="preserve">Reference:</w:t>
      </w:r>
      <w:r>
        <w:t xml:space="preserve"> </w:t>
      </w:r>
      <w:r>
        <w:t xml:space="preserve">Please cite Invoice No. MFG-2025-0487 on all remittances.</w:t>
      </w:r>
    </w:p>
    <w:p>
      <w:pPr>
        <w:pStyle w:val="BodyText"/>
      </w:pPr>
      <w:r>
        <w:rPr>
          <w:bCs/>
          <w:b/>
        </w:rPr>
        <w:t xml:space="preserve">Payment Terms:</w:t>
      </w:r>
      <w:r>
        <w:t xml:space="preserve"> </w:t>
      </w:r>
      <w:r>
        <w:t xml:space="preserve">Net 30 days from the date of this Invoice. Late payments are subject to a 1.5% monthly interest charge as per the terms of our Service Agreement dated January 10, 2025.</w:t>
      </w:r>
    </w:p>
    <w:bookmarkEnd w:id="24"/>
    <w:bookmarkStart w:id="25" w:name="notes-and-terms"/>
    <w:p>
      <w:pPr>
        <w:pStyle w:val="Heading3"/>
      </w:pPr>
      <w:r>
        <w:t xml:space="preserve">Notes and Terms</w:t>
      </w:r>
    </w:p>
    <w:p>
      <w:pPr>
        <w:pStyle w:val="FirstParagraph"/>
      </w:pPr>
      <w:r>
        <w:t xml:space="preserve">This Invoice has been issued by Meridian Financial Advisory Group Inc., a corporation registered in the Province of Quebec, Canada, and operating its principal office in Canada Montreal. All services rendered by our Financial Analyst team are performed in accordance with the professional standards set forth by the Chartered Professional Accountants of Quebec (CPA Québec) and the Canadian Securities Administrators (CSA).</w:t>
      </w:r>
    </w:p>
    <w:p>
      <w:pPr>
        <w:pStyle w:val="BodyText"/>
      </w:pPr>
      <w:r>
        <w:t xml:space="preserve">The Financial Analyst services detailed above were delivered exclusively to Concordia Capital Partners Ltd. and are non-transferable. All financial models, projections, and analytical reports produced under this engagement remain the intellectual property of Meridian Financial Advisory Group Inc. unless otherwise stated in the master Service Agreement.</w:t>
      </w:r>
    </w:p>
    <w:p>
      <w:pPr>
        <w:pStyle w:val="BodyText"/>
      </w:pPr>
      <w:r>
        <w:t xml:space="preserve">Tax calculations on this Invoice reflect the applicable Goods and Services Tax (GST) at the federal rate of 5% and the Quebec Sales Tax (QST) at the provincial rate of 9.975%, as mandated by the Canada Revenue Agency (CRA) and Revenu Québec for taxable services rendered within the Province of Quebec, Canada.</w:t>
      </w:r>
    </w:p>
    <w:p>
      <w:pPr>
        <w:pStyle w:val="BodyText"/>
      </w:pPr>
      <w:r>
        <w:t xml:space="preserve">Please direct any questions or disputes regarding this Invoice to our billing department at billing@meridianfinancial.ca or by telephone at +1 (514) 555-0192, Monday through Friday, 9:00 AM to 5:00 PM Eastern Standard Time. Disputes must be raised in writing within fifteen (15) business days of the Invoice date.</w:t>
      </w:r>
    </w:p>
    <w:p>
      <w:pPr>
        <w:pStyle w:val="BodyText"/>
      </w:pPr>
      <w:r>
        <w:t xml:space="preserve">Thank you for your continued partnership. We look forward to providing ongoing Financial Analyst expertise to support your strategic objectives in Canada Montreal and beyond.</w:t>
      </w:r>
    </w:p>
    <w:bookmarkEnd w:id="25"/>
    <w:p>
      <w:pPr>
        <w:pStyle w:val="BodyText"/>
      </w:pPr>
      <w:r>
        <w:rPr>
          <w:bCs/>
          <w:b/>
        </w:rPr>
        <w:t xml:space="preserve">Meridian Financial Advisory Group Inc.</w:t>
      </w:r>
      <w:r>
        <w:t xml:space="preserve"> </w:t>
      </w:r>
      <w:r>
        <w:t xml:space="preserve">– 455 Rue Sainte-Catherine Ouest, Suite 1200, Montreal, Quebec, Canada H3B 3L8</w:t>
      </w:r>
    </w:p>
    <w:p>
      <w:pPr>
        <w:pStyle w:val="BodyText"/>
      </w:pPr>
      <w:r>
        <w:t xml:space="preserve">Corporation No. 1184567-00 | Registered in Quebec, Canada | GST: 123456789RT0001 | QST: 123456789Q0001</w:t>
      </w:r>
    </w:p>
    <w:p>
      <w:pPr>
        <w:pStyle w:val="BodyText"/>
      </w:pPr>
      <w:r>
        <w:t xml:space="preserve">This is an electronically generated Invoice and is valid without a physical signature. For verification, contact our billing office.</w:t>
      </w:r>
    </w:p>
    <w:p>
      <w:pPr>
        <w:pStyle w:val="BodyText"/>
      </w:pPr>
      <w:r>
        <w:t xml:space="preserve">Page 1 of 1 | Generated: June 15, 2025 at 10:42 AM EST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Canada Montreal</dc:title>
  <dc:creator/>
  <dc:language>en</dc:language>
  <cp:keywords/>
  <dcterms:created xsi:type="dcterms:W3CDTF">2026-10-10T08:34:03Z</dcterms:created>
  <dcterms:modified xsi:type="dcterms:W3CDTF">2026-10-10T08:34:03Z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