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andes-capital-advisory-spa"/>
    <w:p>
      <w:pPr>
        <w:pStyle w:val="Heading1"/>
      </w:pPr>
      <w:r>
        <w:t xml:space="preserve">Andes Capital Advisory SpA</w:t>
      </w:r>
    </w:p>
    <w:p>
      <w:pPr>
        <w:pStyle w:val="FirstParagraph"/>
      </w:pPr>
      <w:r>
        <w:t xml:space="preserve">Professional Financial Consulting Firm</w:t>
      </w:r>
    </w:p>
    <w:p>
      <w:pPr>
        <w:pStyle w:val="BodyText"/>
      </w:pPr>
      <w:r>
        <w:t xml:space="preserve">Av. Apoquindo 4501, Of. 1203, Las Condes</w:t>
      </w:r>
    </w:p>
    <w:p>
      <w:pPr>
        <w:pStyle w:val="BodyText"/>
      </w:pPr>
      <w:r>
        <w:t xml:space="preserve">Chile Santiago, Región Metropolitana</w:t>
      </w:r>
    </w:p>
    <w:p>
      <w:pPr>
        <w:pStyle w:val="BodyText"/>
      </w:pPr>
      <w:r>
        <w:t xml:space="preserve">RUT: 77.123.456-8</w:t>
      </w:r>
    </w:p>
    <w:p>
      <w:pPr>
        <w:pStyle w:val="BodyText"/>
      </w:pPr>
      <w:r>
        <w:t xml:space="preserve">Phone: +56 2 2345 6789 | Email: billing@andescapital.cl</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AC-2025-0487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t xml:space="preserve">Professional Services</w:t>
      </w:r>
    </w:p>
    <w:bookmarkEnd w:id="21"/>
    <w:bookmarkStart w:id="22" w:name="billed-to"/>
    <w:p>
      <w:pPr>
        <w:pStyle w:val="Heading3"/>
      </w:pPr>
      <w:r>
        <w:t xml:space="preserve">Billed To</w:t>
      </w:r>
    </w:p>
    <w:p>
      <w:pPr>
        <w:pStyle w:val="FirstParagraph"/>
      </w:pPr>
      <w:r>
        <w:rPr>
          <w:bCs/>
          <w:b/>
        </w:rPr>
        <w:t xml:space="preserve">Empresa Minera del Pacífico S.A.</w:t>
      </w:r>
    </w:p>
    <w:p>
      <w:pPr>
        <w:pStyle w:val="BodyText"/>
      </w:pPr>
      <w:r>
        <w:t xml:space="preserve">Attn: Carlos Mendoza, Director of Finance</w:t>
      </w:r>
    </w:p>
    <w:p>
      <w:pPr>
        <w:pStyle w:val="BodyText"/>
      </w:pPr>
      <w:r>
        <w:t xml:space="preserve">Av. Libertador Bernardo O'Higgins 1250</w:t>
      </w:r>
    </w:p>
    <w:p>
      <w:pPr>
        <w:pStyle w:val="BodyText"/>
      </w:pPr>
      <w:r>
        <w:t xml:space="preserve">Chile Santiago, Providencia</w:t>
      </w:r>
    </w:p>
    <w:p>
      <w:pPr>
        <w:pStyle w:val="BodyText"/>
      </w:pPr>
      <w:r>
        <w:t xml:space="preserve">RUT: 80.234.567-1</w:t>
      </w:r>
    </w:p>
    <w:p>
      <w:pPr>
        <w:pStyle w:val="BodyText"/>
      </w:pPr>
      <w:r>
        <w:t xml:space="preserve">Email: c.mendoza@mineraelpacifico.cl</w:t>
      </w:r>
    </w:p>
    <w:bookmarkEnd w:id="22"/>
    <w:bookmarkStart w:id="23" w:name="service-provider"/>
    <w:p>
      <w:pPr>
        <w:pStyle w:val="Heading3"/>
      </w:pPr>
      <w:r>
        <w:t xml:space="preserve">Service Provider</w:t>
      </w:r>
    </w:p>
    <w:p>
      <w:pPr>
        <w:pStyle w:val="FirstParagraph"/>
      </w:pPr>
      <w:r>
        <w:rPr>
          <w:bCs/>
          <w:b/>
        </w:rPr>
        <w:t xml:space="preserve">Valentina Ríos, CFA</w:t>
      </w:r>
    </w:p>
    <w:p>
      <w:pPr>
        <w:pStyle w:val="BodyText"/>
      </w:pPr>
      <w:r>
        <w:t xml:space="preserve">Senior Financial Analyst</w:t>
      </w:r>
    </w:p>
    <w:p>
      <w:pPr>
        <w:pStyle w:val="BodyText"/>
      </w:pPr>
      <w:r>
        <w:t xml:space="preserve">Andes Capital Advisory SpA</w:t>
      </w:r>
    </w:p>
    <w:p>
      <w:pPr>
        <w:pStyle w:val="BodyText"/>
      </w:pPr>
      <w:r>
        <w:t xml:space="preserve">Chile Santiago, Las Condes</w:t>
      </w:r>
    </w:p>
    <w:p>
      <w:pPr>
        <w:pStyle w:val="BodyText"/>
      </w:pPr>
      <w:r>
        <w:t xml:space="preserve">Professional License: CFA Charterholder #48291</w:t>
      </w:r>
    </w:p>
    <w:p>
      <w:pPr>
        <w:pStyle w:val="BodyText"/>
      </w:pPr>
      <w:r>
        <w:t xml:space="preserve">Registration: SII Facturero Electrónico</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Hours</w:t>
            </w:r>
          </w:p>
        </w:tc>
        <w:tc>
          <w:tcPr/>
          <w:p>
            <w:pPr>
              <w:pStyle w:val="Compact"/>
              <w:jc w:val="left"/>
            </w:pPr>
            <w:r>
              <w:t xml:space="preserve">Rate (CLP)</w:t>
            </w:r>
          </w:p>
        </w:tc>
        <w:tc>
          <w:tcPr/>
          <w:p>
            <w:pPr>
              <w:pStyle w:val="Compact"/>
              <w:jc w:val="left"/>
            </w:pPr>
            <w:r>
              <w:t xml:space="preserve">Amount (CLP)</w:t>
            </w:r>
          </w:p>
        </w:tc>
      </w:tr>
      <w:tr>
        <w:tc>
          <w:tcPr/>
          <w:p>
            <w:pPr>
              <w:pStyle w:val="Compact"/>
              <w:jc w:val="left"/>
            </w:pPr>
            <w:r>
              <w:t xml:space="preserve">1</w:t>
            </w:r>
          </w:p>
        </w:tc>
        <w:tc>
          <w:tcPr/>
          <w:p>
            <w:pPr>
              <w:pStyle w:val="Compact"/>
              <w:jc w:val="left"/>
            </w:pPr>
            <w:r>
              <w:t xml:space="preserve">Quarterly Financial Statement Analysis and Variance Reporting – Comprehensive review of Q1 2025 income statements, balance sheets, and cash flow projections for the mining division, prepared by the assigned Financial Analyst in Chile Santiago.</w:t>
            </w:r>
          </w:p>
        </w:tc>
        <w:tc>
          <w:tcPr/>
          <w:p>
            <w:pPr>
              <w:pStyle w:val="Compact"/>
              <w:jc w:val="left"/>
            </w:pPr>
            <w:r>
              <w:t xml:space="preserve">24</w:t>
            </w:r>
          </w:p>
        </w:tc>
        <w:tc>
          <w:tcPr/>
          <w:p>
            <w:pPr>
              <w:pStyle w:val="Compact"/>
              <w:jc w:val="left"/>
            </w:pPr>
            <w:r>
              <w:t xml:space="preserve">$85,000</w:t>
            </w:r>
          </w:p>
        </w:tc>
        <w:tc>
          <w:tcPr/>
          <w:p>
            <w:pPr>
              <w:pStyle w:val="Compact"/>
              <w:jc w:val="left"/>
            </w:pPr>
            <w:r>
              <w:t xml:space="preserve">$2,040,000</w:t>
            </w:r>
          </w:p>
        </w:tc>
      </w:tr>
      <w:tr>
        <w:tc>
          <w:tcPr/>
          <w:p>
            <w:pPr>
              <w:pStyle w:val="Compact"/>
              <w:jc w:val="left"/>
            </w:pPr>
            <w:r>
              <w:t xml:space="preserve">2</w:t>
            </w:r>
          </w:p>
        </w:tc>
        <w:tc>
          <w:tcPr/>
          <w:p>
            <w:pPr>
              <w:pStyle w:val="Compact"/>
              <w:jc w:val="left"/>
            </w:pPr>
            <w:r>
              <w:t xml:space="preserve">Capital Expenditure Modeling and Discounted Cash Flow Analysis – Development of DCF models for three proposed infrastructure projects in the Atacama region, including sensitivity analysis and NPV/IRR calculations performed by the Financial Analyst team.</w:t>
            </w:r>
          </w:p>
        </w:tc>
        <w:tc>
          <w:tcPr/>
          <w:p>
            <w:pPr>
              <w:pStyle w:val="Compact"/>
              <w:jc w:val="left"/>
            </w:pPr>
            <w:r>
              <w:t xml:space="preserve">32</w:t>
            </w:r>
          </w:p>
        </w:tc>
        <w:tc>
          <w:tcPr/>
          <w:p>
            <w:pPr>
              <w:pStyle w:val="Compact"/>
              <w:jc w:val="left"/>
            </w:pPr>
            <w:r>
              <w:t xml:space="preserve">$85,000</w:t>
            </w:r>
          </w:p>
        </w:tc>
        <w:tc>
          <w:tcPr/>
          <w:p>
            <w:pPr>
              <w:pStyle w:val="Compact"/>
              <w:jc w:val="left"/>
            </w:pPr>
            <w:r>
              <w:t xml:space="preserve">$2,720,000</w:t>
            </w:r>
          </w:p>
        </w:tc>
      </w:tr>
      <w:tr>
        <w:tc>
          <w:tcPr/>
          <w:p>
            <w:pPr>
              <w:pStyle w:val="Compact"/>
              <w:jc w:val="left"/>
            </w:pPr>
            <w:r>
              <w:t xml:space="preserve">3</w:t>
            </w:r>
          </w:p>
        </w:tc>
        <w:tc>
          <w:tcPr/>
          <w:p>
            <w:pPr>
              <w:pStyle w:val="Compact"/>
              <w:jc w:val="left"/>
            </w:pPr>
            <w:r>
              <w:t xml:space="preserve">Market Competitor Benchmarking and Industry Trend Research – Comparative financial ratio analysis against five peer companies in the Chilean mining sector, with written recommendations delivered to the board of directors in Chile Santiago.</w:t>
            </w:r>
          </w:p>
        </w:tc>
        <w:tc>
          <w:tcPr/>
          <w:p>
            <w:pPr>
              <w:pStyle w:val="Compact"/>
              <w:jc w:val="left"/>
            </w:pPr>
            <w:r>
              <w:t xml:space="preserve">18</w:t>
            </w:r>
          </w:p>
        </w:tc>
        <w:tc>
          <w:tcPr/>
          <w:p>
            <w:pPr>
              <w:pStyle w:val="Compact"/>
              <w:jc w:val="left"/>
            </w:pPr>
            <w:r>
              <w:t xml:space="preserve">$85,000</w:t>
            </w:r>
          </w:p>
        </w:tc>
        <w:tc>
          <w:tcPr/>
          <w:p>
            <w:pPr>
              <w:pStyle w:val="Compact"/>
              <w:jc w:val="left"/>
            </w:pPr>
            <w:r>
              <w:t xml:space="preserve">$1,530,000</w:t>
            </w:r>
          </w:p>
        </w:tc>
      </w:tr>
      <w:tr>
        <w:tc>
          <w:tcPr/>
          <w:p>
            <w:pPr>
              <w:pStyle w:val="Compact"/>
              <w:jc w:val="left"/>
            </w:pPr>
            <w:r>
              <w:t xml:space="preserve">4</w:t>
            </w:r>
          </w:p>
        </w:tc>
        <w:tc>
          <w:tcPr/>
          <w:p>
            <w:pPr>
              <w:pStyle w:val="Compact"/>
              <w:jc w:val="left"/>
            </w:pPr>
            <w:r>
              <w:t xml:space="preserve">Monthly Budget Forecasting and Rolling 12-Month Projection – Preparation of updated budget forecasts incorporating commodity price volatility scenarios (copper, lithium, molybdenum) as directed by the CFO, executed by the Senior Financial Analyst.</w:t>
            </w:r>
          </w:p>
        </w:tc>
        <w:tc>
          <w:tcPr/>
          <w:p>
            <w:pPr>
              <w:pStyle w:val="Compact"/>
              <w:jc w:val="left"/>
            </w:pPr>
            <w:r>
              <w:t xml:space="preserve">20</w:t>
            </w:r>
          </w:p>
        </w:tc>
        <w:tc>
          <w:tcPr/>
          <w:p>
            <w:pPr>
              <w:pStyle w:val="Compact"/>
              <w:jc w:val="left"/>
            </w:pPr>
            <w:r>
              <w:t xml:space="preserve">$85,000</w:t>
            </w:r>
          </w:p>
        </w:tc>
        <w:tc>
          <w:tcPr/>
          <w:p>
            <w:pPr>
              <w:pStyle w:val="Compact"/>
              <w:jc w:val="left"/>
            </w:pPr>
            <w:r>
              <w:t xml:space="preserve">$1,700,000</w:t>
            </w:r>
          </w:p>
        </w:tc>
      </w:tr>
      <w:tr>
        <w:tc>
          <w:tcPr/>
          <w:p>
            <w:pPr>
              <w:pStyle w:val="Compact"/>
              <w:jc w:val="left"/>
            </w:pPr>
            <w:r>
              <w:t xml:space="preserve">5</w:t>
            </w:r>
          </w:p>
        </w:tc>
        <w:tc>
          <w:tcPr/>
          <w:p>
            <w:pPr>
              <w:pStyle w:val="Compact"/>
              <w:jc w:val="left"/>
            </w:pPr>
            <w:r>
              <w:t xml:space="preserve">Regulatory Compliance Review – SII Tax Reporting and IFRS 15 Revenue Recognition Audit Support – Verification of tax obligations and revenue recognition policies in compliance with Chilean commercial law and international standards, conducted in Chile Santiago.</w:t>
            </w:r>
          </w:p>
        </w:tc>
        <w:tc>
          <w:tcPr/>
          <w:p>
            <w:pPr>
              <w:pStyle w:val="Compact"/>
              <w:jc w:val="left"/>
            </w:pPr>
            <w:r>
              <w:t xml:space="preserve">12</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6</w:t>
            </w:r>
          </w:p>
        </w:tc>
        <w:tc>
          <w:tcPr/>
          <w:p>
            <w:pPr>
              <w:pStyle w:val="Compact"/>
              <w:jc w:val="left"/>
            </w:pPr>
            <w:r>
              <w:t xml:space="preserve">Board Presentation Preparation and Executive Summary – Design and delivery of a 45-minute financial performance presentation to the board of directors, including Q&amp;A session, prepared and presented by the Financial Analyst at the client's headquarters in Chile Santiago.</w:t>
            </w:r>
          </w:p>
        </w:tc>
        <w:tc>
          <w:tcPr/>
          <w:p>
            <w:pPr>
              <w:pStyle w:val="Compact"/>
              <w:jc w:val="left"/>
            </w:pPr>
            <w:r>
              <w:t xml:space="preserve">8</w:t>
            </w:r>
          </w:p>
        </w:tc>
        <w:tc>
          <w:tcPr/>
          <w:p>
            <w:pPr>
              <w:pStyle w:val="Compact"/>
              <w:jc w:val="left"/>
            </w:pPr>
            <w:r>
              <w:t xml:space="preserve">$85,000</w:t>
            </w:r>
          </w:p>
        </w:tc>
        <w:tc>
          <w:tcPr/>
          <w:p>
            <w:pPr>
              <w:pStyle w:val="Compact"/>
              <w:jc w:val="left"/>
            </w:pPr>
            <w:r>
              <w:t xml:space="preserve">$680,000</w:t>
            </w:r>
          </w:p>
        </w:tc>
      </w:tr>
    </w:tbl>
    <w:p>
      <w:pPr>
        <w:pStyle w:val="BodyText"/>
      </w:pPr>
      <w:r>
        <w:t xml:space="preserve">Subtotal (CLP)</w:t>
      </w:r>
      <w:r>
        <w:t xml:space="preserve">$9,690,000</w:t>
      </w:r>
    </w:p>
    <w:p>
      <w:pPr>
        <w:pStyle w:val="BodyText"/>
      </w:pPr>
      <w:r>
        <w:t xml:space="preserve">IVA (19% – Chilean VAT)</w:t>
      </w:r>
      <w:r>
        <w:t xml:space="preserve">$1,841,100</w:t>
      </w:r>
    </w:p>
    <w:p>
      <w:pPr>
        <w:pStyle w:val="BodyText"/>
      </w:pPr>
      <w:r>
        <w:t xml:space="preserve">Discount – Early Payment (2%)</w:t>
      </w:r>
      <w:r>
        <w:t xml:space="preserve">-$193,800</w:t>
      </w:r>
    </w:p>
    <w:p>
      <w:pPr>
        <w:pStyle w:val="BodyText"/>
      </w:pPr>
      <w:r>
        <w:t xml:space="preserve">TOTAL DUE (CLP)</w:t>
      </w:r>
      <w:r>
        <w:t xml:space="preserve">$11,337,300</w:t>
      </w:r>
    </w:p>
    <w:p>
      <w:pPr>
        <w:pStyle w:val="BodyText"/>
      </w:pPr>
      <w:r>
        <w:t xml:space="preserve">≈ USD 12,470.85</w:t>
      </w:r>
      <w:r>
        <w:t xml:space="preserve">(Rate: 909.10 CLP/USD)</w:t>
      </w:r>
    </w:p>
    <w:bookmarkStart w:id="24" w:name="payment-terms-and-invoice-conditions"/>
    <w:p>
      <w:pPr>
        <w:pStyle w:val="Heading3"/>
      </w:pPr>
      <w:r>
        <w:t xml:space="preserve">Payment Terms and Invoice Conditions</w:t>
      </w:r>
    </w:p>
    <w:p>
      <w:pPr>
        <w:pStyle w:val="FirstParagraph"/>
      </w:pPr>
      <w:r>
        <w:rPr>
          <w:bCs/>
          <w:b/>
        </w:rPr>
        <w:t xml:space="preserve">Payment Method:</w:t>
      </w:r>
      <w:r>
        <w:t xml:space="preserve"> </w:t>
      </w:r>
      <w:r>
        <w:t xml:space="preserve">Bank transfer (Transferencia Bancaria) to Banco de Chile, Account No. 18-0045678-9, RUT 77.123.456-8. Please reference Invoice No. AC-2025-0487 in the transfer memo.</w:t>
      </w:r>
    </w:p>
    <w:p>
      <w:pPr>
        <w:pStyle w:val="BodyText"/>
      </w:pPr>
      <w:r>
        <w:rPr>
          <w:bCs/>
          <w:b/>
        </w:rPr>
        <w:t xml:space="preserve">Due Date:</w:t>
      </w:r>
      <w:r>
        <w:t xml:space="preserve"> </w:t>
      </w:r>
      <w:r>
        <w:t xml:space="preserve">This Invoice is payable within thirty (30) calendar days from the issue date. Payment is due no later than July 15, 2025. A 2% early payment discount applies if settled before June 30, 2025.</w:t>
      </w:r>
    </w:p>
    <w:p>
      <w:pPr>
        <w:pStyle w:val="BodyText"/>
      </w:pPr>
      <w:r>
        <w:rPr>
          <w:bCs/>
          <w:b/>
        </w:rPr>
        <w:t xml:space="preserve">Late Payment:</w:t>
      </w:r>
      <w:r>
        <w:t xml:space="preserve"> </w:t>
      </w:r>
      <w:r>
        <w:t xml:space="preserve">In accordance with Chilean commercial regulations (Código de Comercio, Art. 1044), a late payment interest rate of 1.5% per month will be applied to any outstanding balance after the due date. This Invoice will be considered overdue if not settled by the specified due date.</w:t>
      </w:r>
    </w:p>
    <w:p>
      <w:pPr>
        <w:pStyle w:val="BodyText"/>
      </w:pPr>
      <w:r>
        <w:rPr>
          <w:bCs/>
          <w:b/>
        </w:rPr>
        <w:t xml:space="preserve">Tax Compliance:</w:t>
      </w:r>
      <w:r>
        <w:t xml:space="preserve"> </w:t>
      </w:r>
      <w:r>
        <w:t xml:space="preserve">This Invoice has been issued in compliance with the Servicio de Impuestos Internos (SII) electronic invoicing requirements. The corresponding Factura Electrónica has been registered in the SII system under folio number 001-00000487. The 19% IVA (Impuesto al Valor Agregado) is included as mandated by Chilean tax law for professional services rendered in Chile Santiago.</w:t>
      </w:r>
    </w:p>
    <w:p>
      <w:pPr>
        <w:pStyle w:val="BodyText"/>
      </w:pPr>
      <w:r>
        <w:rPr>
          <w:bCs/>
          <w:b/>
        </w:rPr>
        <w:t xml:space="preserve">Scope of Services:</w:t>
      </w:r>
      <w:r>
        <w:t xml:space="preserve"> </w:t>
      </w:r>
      <w:r>
        <w:t xml:space="preserve">All Financial Analyst services described in this Invoice were performed by qualified professionals holding CFA and CPA credentials. The work was conducted in accordance with the professional engagement agreement dated March 1, 2025, between Andes Capital Advisory SpA and Empresa Minera del Pacífico S.A. Any additional services beyond the scope of this Invoice will be subject to a separate quotation and approval.</w:t>
      </w:r>
    </w:p>
    <w:p>
      <w:pPr>
        <w:pStyle w:val="BodyText"/>
      </w:pPr>
      <w:r>
        <w:rPr>
          <w:bCs/>
          <w:b/>
        </w:rPr>
        <w:t xml:space="preserve">Dispute Resolution:</w:t>
      </w:r>
      <w:r>
        <w:t xml:space="preserve"> </w:t>
      </w:r>
      <w:r>
        <w:t xml:space="preserve">Any disputes arising from this Invoice or the associated Financial Analyst services shall be resolved through arbitration in Chile Santiago, in accordance with the rules of the Cámara de Comercio de Santiago. The governing law for this Invoice and all related services is the law of the Republic of Chile.</w:t>
      </w:r>
    </w:p>
    <w:p>
      <w:pPr>
        <w:pStyle w:val="BodyText"/>
      </w:pPr>
      <w:r>
        <w:rPr>
          <w:bCs/>
          <w:b/>
        </w:rPr>
        <w:t xml:space="preserve">Confidentiality:</w:t>
      </w:r>
      <w:r>
        <w:t xml:space="preserve"> </w:t>
      </w:r>
      <w:r>
        <w:t xml:space="preserve">All financial data, models, and analyses prepared by the Financial Analyst team under this engagement are subject to strict confidentiality. This Invoice and its contents shall not be disclosed to third parties without prior written consent from both parties.</w:t>
      </w:r>
    </w:p>
    <w:bookmarkEnd w:id="24"/>
    <w:p>
      <w:pPr>
        <w:pStyle w:val="BodyText"/>
      </w:pPr>
      <w:r>
        <w:rPr>
          <w:bCs/>
          <w:b/>
        </w:rPr>
        <w:t xml:space="preserve">Andes Capital Advisory SpA</w:t>
      </w:r>
      <w:r>
        <w:t xml:space="preserve"> </w:t>
      </w:r>
      <w:r>
        <w:t xml:space="preserve">| Av. Apoquindo 4501, Of. 1203, Las Condes, Chile Santiago, Región Metropolitana</w:t>
      </w:r>
    </w:p>
    <w:p>
      <w:pPr>
        <w:pStyle w:val="BodyText"/>
      </w:pPr>
      <w:r>
        <w:t xml:space="preserve">RUT: 77.123.456-8 | SII Facturero Electrónico | Phone: +56 2 2345 6789 | Email: billing@andescapital.cl</w:t>
      </w:r>
    </w:p>
    <w:p>
      <w:pPr>
        <w:pStyle w:val="BodyText"/>
      </w:pPr>
      <w:r>
        <w:t xml:space="preserve">This Invoice was generated electronically and is valid without a physical signature in accordance with Chilean Law 19.799 (Ley de Facturación Electrónica).</w:t>
      </w:r>
    </w:p>
    <w:p>
      <w:pPr>
        <w:pStyle w:val="BodyText"/>
      </w:pPr>
      <w:r>
        <w:t xml:space="preserve">Thank you for choosing our Financial Analyst services in Chile Santiago. We value your business and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Chile Santiago</dc:title>
  <dc:creator/>
  <dc:language>en</dc:language>
  <cp:keywords/>
  <dcterms:created xsi:type="dcterms:W3CDTF">2026-10-10T09:10:50Z</dcterms:created>
  <dcterms:modified xsi:type="dcterms:W3CDTF">2026-10-10T09:10:50Z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