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meridian-capital-advisory-group"/>
    <w:p>
      <w:pPr>
        <w:pStyle w:val="Heading1"/>
      </w:pPr>
      <w:r>
        <w:t xml:space="preserve">Meridian Capital Advisory Group</w:t>
      </w:r>
    </w:p>
    <w:p>
      <w:pPr>
        <w:pStyle w:val="FirstParagraph"/>
      </w:pPr>
      <w:r>
        <w:t xml:space="preserve">88 Pudong Avenue, Lujiazui Financial District</w:t>
      </w:r>
    </w:p>
    <w:p>
      <w:pPr>
        <w:pStyle w:val="BodyText"/>
      </w:pPr>
      <w:r>
        <w:t xml:space="preserve">China Shanghai, 200120, People's Republic of China</w:t>
      </w:r>
    </w:p>
    <w:p>
      <w:pPr>
        <w:pStyle w:val="BodyText"/>
      </w:pPr>
      <w:r>
        <w:t xml:space="preserve">Tax ID (USCC): 91310000MA1FL8XK2P</w:t>
      </w:r>
    </w:p>
    <w:p>
      <w:pPr>
        <w:pStyle w:val="BodyText"/>
      </w:pPr>
      <w:r>
        <w:t xml:space="preserve">Email: billing@meridiancapital.cn | Tel: +86-21-5888-6700</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No: MCA-2025-SH-04872</w:t>
      </w:r>
    </w:p>
    <w:p>
      <w:pPr>
        <w:pStyle w:val="BodyText"/>
      </w:pPr>
      <w:r>
        <w:t xml:space="preserve">Date of Issue: 15 June 2025</w:t>
      </w:r>
    </w:p>
    <w:p>
      <w:pPr>
        <w:pStyle w:val="BodyText"/>
      </w:pPr>
      <w:r>
        <w:t xml:space="preserve">Due Date: 15 July 2025</w:t>
      </w:r>
    </w:p>
    <w:bookmarkEnd w:id="21"/>
    <w:bookmarkStart w:id="22" w:name="billed-to"/>
    <w:p>
      <w:pPr>
        <w:pStyle w:val="Heading3"/>
      </w:pPr>
      <w:r>
        <w:t xml:space="preserve">Billed To</w:t>
      </w:r>
    </w:p>
    <w:p>
      <w:pPr>
        <w:pStyle w:val="FirstParagraph"/>
      </w:pPr>
      <w:r>
        <w:rPr>
          <w:bCs/>
          <w:b/>
        </w:rPr>
        <w:t xml:space="preserve">Shanghai Horizon Manufacturing Co., Ltd.</w:t>
      </w:r>
    </w:p>
    <w:p>
      <w:pPr>
        <w:pStyle w:val="BodyText"/>
      </w:pPr>
      <w:r>
        <w:t xml:space="preserve">1200 Yan'an Elevated Road, Jing'an District</w:t>
      </w:r>
    </w:p>
    <w:p>
      <w:pPr>
        <w:pStyle w:val="BodyText"/>
      </w:pPr>
      <w:r>
        <w:t xml:space="preserve">China Shanghai, 200040, PRC</w:t>
      </w:r>
    </w:p>
    <w:p>
      <w:pPr>
        <w:pStyle w:val="BodyText"/>
      </w:pPr>
      <w:r>
        <w:t xml:space="preserve">Attn: Mr. David Chen, CFO</w:t>
      </w:r>
    </w:p>
    <w:p>
      <w:pPr>
        <w:pStyle w:val="BodyText"/>
      </w:pPr>
      <w:r>
        <w:t xml:space="preserve">Tax ID: 91310106MA1GK3RT7B</w:t>
      </w:r>
    </w:p>
    <w:bookmarkEnd w:id="22"/>
    <w:bookmarkStart w:id="23" w:name="service-provider"/>
    <w:p>
      <w:pPr>
        <w:pStyle w:val="Heading3"/>
      </w:pPr>
      <w:r>
        <w:t xml:space="preserve">Service Provider</w:t>
      </w:r>
    </w:p>
    <w:p>
      <w:pPr>
        <w:pStyle w:val="FirstParagraph"/>
      </w:pPr>
      <w:r>
        <w:rPr>
          <w:bCs/>
          <w:b/>
        </w:rPr>
        <w:t xml:space="preserve">Meridian Capital Advisory Group</w:t>
      </w:r>
    </w:p>
    <w:p>
      <w:pPr>
        <w:pStyle w:val="BodyText"/>
      </w:pPr>
      <w:r>
        <w:t xml:space="preserve">Financial Analyst Division</w:t>
      </w:r>
    </w:p>
    <w:p>
      <w:pPr>
        <w:pStyle w:val="BodyText"/>
      </w:pPr>
      <w:r>
        <w:t xml:space="preserve">China Shanghai Office</w:t>
      </w:r>
    </w:p>
    <w:p>
      <w:pPr>
        <w:pStyle w:val="BodyText"/>
      </w:pPr>
      <w:r>
        <w:t xml:space="preserve">Lead Financial Analyst: Ms. Linda Wang, CFA</w:t>
      </w:r>
    </w:p>
    <w:p>
      <w:pPr>
        <w:pStyle w:val="BodyText"/>
      </w:pPr>
      <w:r>
        <w:t xml:space="preserve">Engagement Ref: FA-2025-SH-114</w:t>
      </w:r>
    </w:p>
    <w:bookmarkEnd w:id="23"/>
    <w:bookmarkStart w:id="24" w:name="invoice-details"/>
    <w:p>
      <w:pPr>
        <w:pStyle w:val="Heading3"/>
      </w:pPr>
      <w:r>
        <w:t xml:space="preserve">Invoice Details</w:t>
      </w:r>
    </w:p>
    <w:p>
      <w:pPr>
        <w:pStyle w:val="FirstParagraph"/>
      </w:pPr>
      <w:r>
        <w:t xml:space="preserve">Currency: Chinese Yuan (CNY / RMB)</w:t>
      </w:r>
    </w:p>
    <w:p>
      <w:pPr>
        <w:pStyle w:val="BodyText"/>
      </w:pPr>
      <w:r>
        <w:t xml:space="preserve">Payment Terms: Net 30 Days</w:t>
      </w:r>
    </w:p>
    <w:p>
      <w:pPr>
        <w:pStyle w:val="BodyText"/>
      </w:pPr>
      <w:r>
        <w:t xml:space="preserve">Method: Bank Transfer (CNY)</w:t>
      </w:r>
    </w:p>
    <w:p>
      <w:pPr>
        <w:pStyle w:val="BodyText"/>
      </w:pPr>
      <w:r>
        <w:t xml:space="preserve">Bank: ICBC, Shanghai Pudong Branch</w:t>
      </w:r>
    </w:p>
    <w:p>
      <w:pPr>
        <w:pStyle w:val="BodyText"/>
      </w:pPr>
      <w:r>
        <w:t xml:space="preserve">Account: 1001 2345 6789 0123</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Financial Analyst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(CNY/hr)</w:t>
            </w:r>
          </w:p>
        </w:tc>
        <w:tc>
          <w:tcPr/>
          <w:p>
            <w:pPr>
              <w:pStyle w:val="Compact"/>
              <w:jc w:val="left"/>
            </w:pPr>
            <w:r>
              <w:t xml:space="preserve">Amount (CNY)</w:t>
            </w:r>
          </w:p>
        </w:tc>
      </w:tr>
      <w:tr>
        <w:tc>
          <w:tcPr/>
          <w:p>
            <w:pPr>
              <w:pStyle w:val="Compact"/>
              <w:jc w:val="left"/>
            </w:pPr>
            <w:r>
              <w:t xml:space="preserve">1</w:t>
            </w:r>
          </w:p>
        </w:tc>
        <w:tc>
          <w:tcPr/>
          <w:p>
            <w:pPr>
              <w:pStyle w:val="Compact"/>
              <w:jc w:val="left"/>
            </w:pPr>
            <w:r>
              <w:rPr>
                <w:bCs/>
                <w:b/>
              </w:rPr>
              <w:t xml:space="preserve">Quarterly Financial Performance Analysis</w:t>
            </w:r>
            <w:r>
              <w:t xml:space="preserve"> </w:t>
            </w:r>
            <w:r>
              <w:t xml:space="preserve">– Comprehensive review of Q1 2025 financial statements, variance analysis, and profitability assessment conducted by the assigned Financial Analyst team in China Shanghai.</w:t>
            </w:r>
          </w:p>
        </w:tc>
        <w:tc>
          <w:tcPr/>
          <w:p>
            <w:pPr>
              <w:pStyle w:val="Compact"/>
              <w:jc w:val="left"/>
            </w:pPr>
            <w:r>
              <w:t xml:space="preserve">Jan – Mar 2025</w:t>
            </w:r>
          </w:p>
        </w:tc>
        <w:tc>
          <w:tcPr/>
          <w:p>
            <w:pPr>
              <w:pStyle w:val="Compact"/>
              <w:jc w:val="left"/>
            </w:pPr>
            <w:r>
              <w:t xml:space="preserve">120</w:t>
            </w:r>
          </w:p>
        </w:tc>
        <w:tc>
          <w:tcPr/>
          <w:p>
            <w:pPr>
              <w:pStyle w:val="Compact"/>
              <w:jc w:val="left"/>
            </w:pPr>
            <w:r>
              <w:t xml:space="preserve">1,200</w:t>
            </w:r>
          </w:p>
        </w:tc>
        <w:tc>
          <w:tcPr/>
          <w:p>
            <w:pPr>
              <w:pStyle w:val="Compact"/>
              <w:jc w:val="left"/>
            </w:pPr>
            <w:r>
              <w:t xml:space="preserve">144,000.00</w:t>
            </w:r>
          </w:p>
        </w:tc>
      </w:tr>
      <w:tr>
        <w:tc>
          <w:tcPr/>
          <w:p>
            <w:pPr>
              <w:pStyle w:val="Compact"/>
              <w:jc w:val="left"/>
            </w:pPr>
            <w:r>
              <w:t xml:space="preserve">2</w:t>
            </w:r>
          </w:p>
        </w:tc>
        <w:tc>
          <w:tcPr/>
          <w:p>
            <w:pPr>
              <w:pStyle w:val="Compact"/>
              <w:jc w:val="left"/>
            </w:pPr>
            <w:r>
              <w:rPr>
                <w:bCs/>
                <w:b/>
              </w:rPr>
              <w:t xml:space="preserve">Budget Forecasting &amp; Cash Flow Modelling</w:t>
            </w:r>
            <w:r>
              <w:t xml:space="preserve"> </w:t>
            </w:r>
            <w:r>
              <w:t xml:space="preserve">– Development of a 12-month rolling budget and cash flow projection model prepared by the senior Financial Analyst for the China Shanghai operations division.</w:t>
            </w:r>
          </w:p>
        </w:tc>
        <w:tc>
          <w:tcPr/>
          <w:p>
            <w:pPr>
              <w:pStyle w:val="Compact"/>
              <w:jc w:val="left"/>
            </w:pPr>
            <w:r>
              <w:t xml:space="preserve">Apr – May 2025</w:t>
            </w:r>
          </w:p>
        </w:tc>
        <w:tc>
          <w:tcPr/>
          <w:p>
            <w:pPr>
              <w:pStyle w:val="Compact"/>
              <w:jc w:val="left"/>
            </w:pPr>
            <w:r>
              <w:t xml:space="preserve">80</w:t>
            </w:r>
          </w:p>
        </w:tc>
        <w:tc>
          <w:tcPr/>
          <w:p>
            <w:pPr>
              <w:pStyle w:val="Compact"/>
              <w:jc w:val="left"/>
            </w:pPr>
            <w:r>
              <w:t xml:space="preserve">1,200</w:t>
            </w:r>
          </w:p>
        </w:tc>
        <w:tc>
          <w:tcPr/>
          <w:p>
            <w:pPr>
              <w:pStyle w:val="Compact"/>
              <w:jc w:val="left"/>
            </w:pPr>
            <w:r>
              <w:t xml:space="preserve">96,000.00</w:t>
            </w:r>
          </w:p>
        </w:tc>
      </w:tr>
      <w:tr>
        <w:tc>
          <w:tcPr/>
          <w:p>
            <w:pPr>
              <w:pStyle w:val="Compact"/>
              <w:jc w:val="left"/>
            </w:pPr>
            <w:r>
              <w:t xml:space="preserve">3</w:t>
            </w:r>
          </w:p>
        </w:tc>
        <w:tc>
          <w:tcPr/>
          <w:p>
            <w:pPr>
              <w:pStyle w:val="Compact"/>
              <w:jc w:val="left"/>
            </w:pPr>
            <w:r>
              <w:rPr>
                <w:bCs/>
                <w:b/>
              </w:rPr>
              <w:t xml:space="preserve">Investment Appraisal &amp; Capital Allocation Review</w:t>
            </w:r>
            <w:r>
              <w:t xml:space="preserve"> </w:t>
            </w:r>
            <w:r>
              <w:t xml:space="preserve">– Detailed NPV, IRR, and payback period analysis for three proposed capital expenditure projects in the China Shanghai manufacturing plant, performed by the dedicated Financial Analyst.</w:t>
            </w:r>
          </w:p>
        </w:tc>
        <w:tc>
          <w:tcPr/>
          <w:p>
            <w:pPr>
              <w:pStyle w:val="Compact"/>
              <w:jc w:val="left"/>
            </w:pPr>
            <w:r>
              <w:t xml:space="preserve">May 2025</w:t>
            </w:r>
          </w:p>
        </w:tc>
        <w:tc>
          <w:tcPr/>
          <w:p>
            <w:pPr>
              <w:pStyle w:val="Compact"/>
              <w:jc w:val="left"/>
            </w:pPr>
            <w:r>
              <w:t xml:space="preserve">60</w:t>
            </w:r>
          </w:p>
        </w:tc>
        <w:tc>
          <w:tcPr/>
          <w:p>
            <w:pPr>
              <w:pStyle w:val="Compact"/>
              <w:jc w:val="left"/>
            </w:pPr>
            <w:r>
              <w:t xml:space="preserve">1,500</w:t>
            </w:r>
          </w:p>
        </w:tc>
        <w:tc>
          <w:tcPr/>
          <w:p>
            <w:pPr>
              <w:pStyle w:val="Compact"/>
              <w:jc w:val="left"/>
            </w:pPr>
            <w:r>
              <w:t xml:space="preserve">90,000.00</w:t>
            </w:r>
          </w:p>
        </w:tc>
      </w:tr>
      <w:tr>
        <w:tc>
          <w:tcPr/>
          <w:p>
            <w:pPr>
              <w:pStyle w:val="Compact"/>
              <w:jc w:val="left"/>
            </w:pPr>
            <w:r>
              <w:t xml:space="preserve">4</w:t>
            </w:r>
          </w:p>
        </w:tc>
        <w:tc>
          <w:tcPr/>
          <w:p>
            <w:pPr>
              <w:pStyle w:val="Compact"/>
              <w:jc w:val="left"/>
            </w:pPr>
            <w:r>
              <w:rPr>
                <w:bCs/>
                <w:b/>
              </w:rPr>
              <w:t xml:space="preserve">Regulatory Compliance &amp; Tax Advisory Support</w:t>
            </w:r>
            <w:r>
              <w:t xml:space="preserve"> </w:t>
            </w:r>
            <w:r>
              <w:t xml:space="preserve">– Assistance with China Shanghai local tax filing requirements, VAT reconciliation, and cross-border transfer pricing documentation as part of the Financial Analyst engagement scope.</w:t>
            </w:r>
          </w:p>
        </w:tc>
        <w:tc>
          <w:tcPr/>
          <w:p>
            <w:pPr>
              <w:pStyle w:val="Compact"/>
              <w:jc w:val="left"/>
            </w:pPr>
            <w:r>
              <w:t xml:space="preserve">Jun 2025</w:t>
            </w:r>
          </w:p>
        </w:tc>
        <w:tc>
          <w:tcPr/>
          <w:p>
            <w:pPr>
              <w:pStyle w:val="Compact"/>
              <w:jc w:val="left"/>
            </w:pPr>
            <w:r>
              <w:t xml:space="preserve">40</w:t>
            </w:r>
          </w:p>
        </w:tc>
        <w:tc>
          <w:tcPr/>
          <w:p>
            <w:pPr>
              <w:pStyle w:val="Compact"/>
              <w:jc w:val="left"/>
            </w:pPr>
            <w:r>
              <w:t xml:space="preserve">1,500</w:t>
            </w:r>
          </w:p>
        </w:tc>
        <w:tc>
          <w:tcPr/>
          <w:p>
            <w:pPr>
              <w:pStyle w:val="Compact"/>
              <w:jc w:val="left"/>
            </w:pPr>
            <w:r>
              <w:t xml:space="preserve">60,000.00</w:t>
            </w:r>
          </w:p>
        </w:tc>
      </w:tr>
      <w:tr>
        <w:tc>
          <w:tcPr/>
          <w:p>
            <w:pPr>
              <w:pStyle w:val="Compact"/>
              <w:jc w:val="left"/>
            </w:pPr>
            <w:r>
              <w:t xml:space="preserve">5</w:t>
            </w:r>
          </w:p>
        </w:tc>
        <w:tc>
          <w:tcPr/>
          <w:p>
            <w:pPr>
              <w:pStyle w:val="Compact"/>
              <w:jc w:val="left"/>
            </w:pPr>
            <w:r>
              <w:rPr>
                <w:bCs/>
                <w:b/>
              </w:rPr>
              <w:t xml:space="preserve">Board Presentation &amp; Executive Reporting</w:t>
            </w:r>
            <w:r>
              <w:t xml:space="preserve"> </w:t>
            </w:r>
            <w:r>
              <w:t xml:space="preserve">– Preparation of a consolidated financial dashboard and board-level presentation summarising all Financial Analyst findings for the China Shanghai regional leadership meeting.</w:t>
            </w:r>
          </w:p>
        </w:tc>
        <w:tc>
          <w:tcPr/>
          <w:p>
            <w:pPr>
              <w:pStyle w:val="Compact"/>
              <w:jc w:val="left"/>
            </w:pPr>
            <w:r>
              <w:t xml:space="preserve">Jun 2025</w:t>
            </w:r>
          </w:p>
        </w:tc>
        <w:tc>
          <w:tcPr/>
          <w:p>
            <w:pPr>
              <w:pStyle w:val="Compact"/>
              <w:jc w:val="left"/>
            </w:pPr>
            <w:r>
              <w:t xml:space="preserve">24</w:t>
            </w:r>
          </w:p>
        </w:tc>
        <w:tc>
          <w:tcPr/>
          <w:p>
            <w:pPr>
              <w:pStyle w:val="Compact"/>
              <w:jc w:val="left"/>
            </w:pPr>
            <w:r>
              <w:t xml:space="preserve">1,800</w:t>
            </w:r>
          </w:p>
        </w:tc>
        <w:tc>
          <w:tcPr/>
          <w:p>
            <w:pPr>
              <w:pStyle w:val="Compact"/>
              <w:jc w:val="left"/>
            </w:pPr>
            <w:r>
              <w:t xml:space="preserve">43,200.00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433,200.00 CNY</w:t>
            </w:r>
          </w:p>
        </w:tc>
      </w:tr>
      <w:tr>
        <w:tc>
          <w:tcPr/>
          <w:p>
            <w:pPr>
              <w:pStyle w:val="Compact"/>
              <w:jc w:val="left"/>
            </w:pPr>
            <w:r>
              <w:t xml:space="preserve">VAT (6% – Professional Services, China Shanghai)</w:t>
            </w:r>
          </w:p>
        </w:tc>
        <w:tc>
          <w:tcPr/>
          <w:p>
            <w:pPr>
              <w:pStyle w:val="Compact"/>
              <w:jc w:val="right"/>
            </w:pPr>
            <w:r>
              <w:t xml:space="preserve">25,992.00 CNY</w:t>
            </w:r>
          </w:p>
        </w:tc>
      </w:tr>
      <w:tr>
        <w:tc>
          <w:tcPr/>
          <w:p>
            <w:pPr>
              <w:pStyle w:val="Compact"/>
              <w:jc w:val="left"/>
            </w:pPr>
            <w:r>
              <w:t xml:space="preserve">Local Service Surcharge (China Shanghai)</w:t>
            </w:r>
          </w:p>
        </w:tc>
        <w:tc>
          <w:tcPr/>
          <w:p>
            <w:pPr>
              <w:pStyle w:val="Compact"/>
              <w:jc w:val="right"/>
            </w:pPr>
            <w:r>
              <w:t xml:space="preserve">1,299.60 CNY</w:t>
            </w:r>
          </w:p>
        </w:tc>
      </w:tr>
      <w:tr>
        <w:tc>
          <w:tcPr/>
          <w:p>
            <w:pPr>
              <w:pStyle w:val="Compact"/>
              <w:jc w:val="left"/>
            </w:pPr>
            <w:r>
              <w:t xml:space="preserve">Discount – Annual Retainer Agreement</w:t>
            </w:r>
          </w:p>
        </w:tc>
        <w:tc>
          <w:tcPr/>
          <w:p>
            <w:pPr>
              <w:pStyle w:val="Compact"/>
              <w:jc w:val="right"/>
            </w:pPr>
            <w:r>
              <w:t xml:space="preserve">-12,996.00 CNY</w:t>
            </w:r>
          </w:p>
        </w:tc>
      </w:tr>
      <w:tr>
        <w:tc>
          <w:tcPr/>
          <w:p>
            <w:pPr>
              <w:pStyle w:val="Compact"/>
              <w:jc w:val="left"/>
            </w:pPr>
            <w:r>
              <w:t xml:space="preserve">Grand Total Due</w:t>
            </w:r>
          </w:p>
        </w:tc>
        <w:tc>
          <w:tcPr/>
          <w:p>
            <w:pPr>
              <w:pStyle w:val="Compact"/>
              <w:jc w:val="right"/>
            </w:pPr>
            <w:r>
              <w:t xml:space="preserve">447,495.60 CNY</w:t>
            </w:r>
          </w:p>
        </w:tc>
      </w:tr>
    </w:tbl>
    <w:bookmarkStart w:id="25" w:name="payment-instructions-china-shanghai"/>
    <w:p>
      <w:pPr>
        <w:pStyle w:val="Heading3"/>
      </w:pPr>
      <w:r>
        <w:t xml:space="preserve">Payment Instructions – China Shanghai</w:t>
      </w:r>
    </w:p>
    <w:p>
      <w:pPr>
        <w:pStyle w:val="FirstParagraph"/>
      </w:pPr>
      <w:r>
        <w:t xml:space="preserve">This Invoice must be settled in full within thirty (30) calendar days of the issue date via bank transfer to the account specified above. All payments related to this Financial Analyst engagement in China Shanghai must be made in Chinese Yuan (CNY). Please reference the Invoice number</w:t>
      </w:r>
      <w:r>
        <w:t xml:space="preserve"> </w:t>
      </w:r>
      <w:r>
        <w:rPr>
          <w:bCs/>
          <w:b/>
        </w:rPr>
        <w:t xml:space="preserve">MCA-2025-SH-04872</w:t>
      </w:r>
      <w:r>
        <w:t xml:space="preserve"> </w:t>
      </w:r>
      <w:r>
        <w:t xml:space="preserve">in the transfer remarks. Late payments will incur a penalty of 0.05% per calendar day as stipulated under the master service agreement governing this Financial Analyst contract in China Shanghai.</w:t>
      </w:r>
    </w:p>
    <w:bookmarkEnd w:id="25"/>
    <w:bookmarkStart w:id="26" w:name="important-notes-terms"/>
    <w:p>
      <w:pPr>
        <w:pStyle w:val="Heading3"/>
      </w:pPr>
      <w:r>
        <w:t xml:space="preserve">Important Notes &amp; Terms</w:t>
      </w:r>
    </w:p>
    <w:p>
      <w:pPr>
        <w:numPr>
          <w:ilvl w:val="0"/>
          <w:numId w:val="1001"/>
        </w:numPr>
        <w:pStyle w:val="Compact"/>
      </w:pPr>
      <w:r>
        <w:t xml:space="preserve">This Invoice constitutes the final billing for the Financial Analyst services rendered during the period of 1 January 2025 through 30 June 2025 in China Shanghai. No further charges will be applied for the scope outlined above.</w:t>
      </w:r>
    </w:p>
    <w:p>
      <w:pPr>
        <w:numPr>
          <w:ilvl w:val="0"/>
          <w:numId w:val="1001"/>
        </w:numPr>
        <w:pStyle w:val="Compact"/>
      </w:pPr>
      <w:r>
        <w:t xml:space="preserve">All Financial Analyst deliverables, including but not limited to the quarterly performance reports, budget models, investment appraisals, and board presentations, have been completed and delivered to the client's designated representative in China Shanghai prior to the issuance of this Invoice.</w:t>
      </w:r>
    </w:p>
    <w:p>
      <w:pPr>
        <w:numPr>
          <w:ilvl w:val="0"/>
          <w:numId w:val="1001"/>
        </w:numPr>
        <w:pStyle w:val="Compact"/>
      </w:pPr>
      <w:r>
        <w:t xml:space="preserve">The Financial Analyst team operating out of our China Shanghai office is bound by strict confidentiality obligations under the Non-Disclosure Agreement (NDA) executed on 1 December 2024. All proprietary financial data provided by Shanghai Horizon Manufacturing Co., Ltd. remains the exclusive property of the client.</w:t>
      </w:r>
    </w:p>
    <w:p>
      <w:pPr>
        <w:numPr>
          <w:ilvl w:val="0"/>
          <w:numId w:val="1001"/>
        </w:numPr>
        <w:pStyle w:val="Compact"/>
      </w:pPr>
      <w:r>
        <w:t xml:space="preserve">This Invoice is subject to the terms and conditions of the Master Service Agreement dated 1 December 2024, which governs all Financial Analyst engagements between Meridian Capital Advisory Group and the client within China Shanghai and the broader People's Republic of China.</w:t>
      </w:r>
    </w:p>
    <w:p>
      <w:pPr>
        <w:numPr>
          <w:ilvl w:val="0"/>
          <w:numId w:val="1001"/>
        </w:numPr>
        <w:pStyle w:val="Compact"/>
      </w:pPr>
      <w:r>
        <w:t xml:space="preserve">Should the client require additional Financial Analyst services beyond the scope of this Invoice, a supplementary Invoice will be issued separately with a minimum 10-business-day notice period. All such additional work will be billed at the prevailing China Shanghai market rates as agreed in the MSA.</w:t>
      </w:r>
    </w:p>
    <w:p>
      <w:pPr>
        <w:numPr>
          <w:ilvl w:val="0"/>
          <w:numId w:val="1001"/>
        </w:numPr>
        <w:pStyle w:val="Compact"/>
      </w:pPr>
      <w:r>
        <w:t xml:space="preserve">Disputes arising from this Invoice or the underlying Financial Analyst services in China Shanghai shall be resolved through arbitration under the Shanghai International Arbitration Center (SHIAC) in accordance with its rules of procedure.</w:t>
      </w:r>
    </w:p>
    <w:p>
      <w:pPr>
        <w:numPr>
          <w:ilvl w:val="0"/>
          <w:numId w:val="1001"/>
        </w:numPr>
        <w:pStyle w:val="Compact"/>
      </w:pPr>
      <w:r>
        <w:t xml:space="preserve">This Invoice is valid for a period of one hundred and eighty (180) days from the date of issue. After this period, the Invoice may be reissued with updated tax calculations as per the prevailing China Shanghai tax regulations.</w:t>
      </w:r>
    </w:p>
    <w:bookmarkEnd w:id="26"/>
    <w:p>
      <w:pPr>
        <w:pStyle w:val="FirstParagraph"/>
      </w:pPr>
      <w:r>
        <w:rPr>
          <w:bCs/>
          <w:b/>
        </w:rPr>
        <w:t xml:space="preserve">Prepared By</w:t>
      </w:r>
      <w:r>
        <w:br/>
      </w:r>
      <w:r>
        <w:t xml:space="preserve">Ms. Linda Wang, CFA</w:t>
      </w:r>
      <w:r>
        <w:br/>
      </w:r>
      <w:r>
        <w:t xml:space="preserve">Lead Financial Analyst</w:t>
      </w:r>
      <w:r>
        <w:br/>
      </w:r>
      <w:r>
        <w:t xml:space="preserve">Meridian Capital Advisory Group</w:t>
      </w:r>
      <w:r>
        <w:br/>
      </w:r>
      <w:r>
        <w:t xml:space="preserve">China Shanghai Office</w:t>
      </w:r>
    </w:p>
    <w:p>
      <w:pPr>
        <w:pStyle w:val="BodyText"/>
      </w:pPr>
      <w:r>
        <w:rPr>
          <w:bCs/>
          <w:b/>
        </w:rPr>
        <w:t xml:space="preserve">Authorised Signatory</w:t>
      </w:r>
      <w:r>
        <w:br/>
      </w:r>
      <w:r>
        <w:t xml:space="preserve">Mr. James Okafor</w:t>
      </w:r>
      <w:r>
        <w:br/>
      </w:r>
      <w:r>
        <w:t xml:space="preserve">Managing Director</w:t>
      </w:r>
      <w:r>
        <w:br/>
      </w:r>
      <w:r>
        <w:t xml:space="preserve">Meridian Capital Advisory Group</w:t>
      </w:r>
      <w:r>
        <w:br/>
      </w:r>
      <w:r>
        <w:t xml:space="preserve">China Shanghai</w:t>
      </w:r>
    </w:p>
    <w:p>
      <w:pPr>
        <w:pStyle w:val="BodyText"/>
      </w:pPr>
      <w:r>
        <w:rPr>
          <w:bCs/>
          <w:b/>
        </w:rPr>
        <w:t xml:space="preserve">Meridian Capital Advisory Group</w:t>
      </w:r>
      <w:r>
        <w:t xml:space="preserve"> </w:t>
      </w:r>
      <w:r>
        <w:t xml:space="preserve">| 88 Pudong Avenue, Lujiazui, China Shanghai 200120, PRC</w:t>
      </w:r>
    </w:p>
    <w:p>
      <w:pPr>
        <w:pStyle w:val="BodyText"/>
      </w:pPr>
      <w:r>
        <w:t xml:space="preserve">Unified Social Credit Code: 91310000MA1FL8XK2P | Registered in the People's Republic of China</w:t>
      </w:r>
    </w:p>
    <w:p>
      <w:pPr>
        <w:pStyle w:val="BodyText"/>
      </w:pPr>
      <w:r>
        <w:t xml:space="preserve">This Invoice was generated electronically and is valid without a physical signature. For verification, contact billing@meridiancapital.cn or +86-21-5888-6700.</w:t>
      </w:r>
    </w:p>
    <w:p>
      <w:pPr>
        <w:pStyle w:val="BodyText"/>
      </w:pPr>
      <w:r>
        <w:t xml:space="preserve">Invoice MCA-2025-SH-04872 | Financial Analyst Services | China Shanghai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China Shanghai</dc:title>
  <dc:creator/>
  <dc:language>en</dc:language>
  <cp:keywords/>
  <dcterms:created xsi:type="dcterms:W3CDTF">2026-10-10T06:14:05Z</dcterms:created>
  <dcterms:modified xsi:type="dcterms:W3CDTF">2026-10-10T06:14:05Z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