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es-financial-consulting-s.a.s."/>
    <w:p>
      <w:pPr>
        <w:pStyle w:val="Heading1"/>
      </w:pPr>
      <w:r>
        <w:t xml:space="preserve">Andes Financial Consulting S.A.S.</w:t>
      </w:r>
    </w:p>
    <w:p>
      <w:pPr>
        <w:pStyle w:val="FirstParagraph"/>
      </w:pPr>
      <w:r>
        <w:t xml:space="preserve">Calle 93 # 15-40, Of. 802, Zona Rosa</w:t>
      </w:r>
    </w:p>
    <w:p>
      <w:pPr>
        <w:pStyle w:val="BodyText"/>
      </w:pPr>
      <w:r>
        <w:t xml:space="preserve">Bogotá D.C., Colombia</w:t>
      </w:r>
    </w:p>
    <w:p>
      <w:pPr>
        <w:pStyle w:val="BodyText"/>
      </w:pPr>
      <w:r>
        <w:t xml:space="preserve">NIT: 901.234.567-8</w:t>
      </w:r>
    </w:p>
    <w:p>
      <w:pPr>
        <w:pStyle w:val="BodyText"/>
      </w:pPr>
      <w:r>
        <w:t xml:space="preserve">Phone: +57 (601) 743 2890</w:t>
      </w:r>
    </w:p>
    <w:p>
      <w:pPr>
        <w:pStyle w:val="BodyText"/>
      </w:pPr>
      <w:r>
        <w:t xml:space="preserve">Email: billing@andesfinancial.co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Grupo Empresarial del Norte S.A.S.</w:t>
      </w:r>
    </w:p>
    <w:p>
      <w:pPr>
        <w:pStyle w:val="BodyText"/>
      </w:pPr>
      <w:r>
        <w:t xml:space="preserve">Av. El Dorado # 109-35, Piso 12</w:t>
      </w:r>
    </w:p>
    <w:p>
      <w:pPr>
        <w:pStyle w:val="BodyText"/>
      </w:pPr>
      <w:r>
        <w:t xml:space="preserve">Bogotá D.C., Colombia</w:t>
      </w:r>
    </w:p>
    <w:p>
      <w:pPr>
        <w:pStyle w:val="BodyText"/>
      </w:pPr>
      <w:r>
        <w:t xml:space="preserve">NIT: 830.456.789-1</w:t>
      </w:r>
    </w:p>
    <w:p>
      <w:pPr>
        <w:pStyle w:val="BodyText"/>
      </w:pPr>
      <w:r>
        <w:t xml:space="preserve">Attn: María Fernanda Restrepo</w:t>
      </w:r>
    </w:p>
    <w:p>
      <w:pPr>
        <w:pStyle w:val="BodyText"/>
      </w:pPr>
      <w:r>
        <w:t xml:space="preserve">Title: Chief Financial Officer</w:t>
      </w:r>
    </w:p>
    <w:p>
      <w:pPr>
        <w:pStyle w:val="BodyText"/>
      </w:pPr>
      <w:r>
        <w:t xml:space="preserve">Email: mrestrepo@genorte.co</w:t>
      </w:r>
    </w:p>
    <w:bookmarkEnd w:id="22"/>
    <w:bookmarkStart w:id="23" w:name="service-provider"/>
    <w:p>
      <w:pPr>
        <w:pStyle w:val="Heading3"/>
      </w:pPr>
      <w:r>
        <w:t xml:space="preserve">Service Provider</w:t>
      </w:r>
    </w:p>
    <w:p>
      <w:pPr>
        <w:pStyle w:val="FirstParagraph"/>
      </w:pPr>
      <w:r>
        <w:rPr>
          <w:bCs/>
          <w:b/>
        </w:rPr>
        <w:t xml:space="preserve">Andes Financial Consulting S.A.S.</w:t>
      </w:r>
    </w:p>
    <w:p>
      <w:pPr>
        <w:pStyle w:val="BodyText"/>
      </w:pPr>
      <w:r>
        <w:t xml:space="preserve">Calle 93 # 15-40, Of. 802</w:t>
      </w:r>
    </w:p>
    <w:p>
      <w:pPr>
        <w:pStyle w:val="BodyText"/>
      </w:pPr>
      <w:r>
        <w:t xml:space="preserve">Bogotá D.C., Colombia</w:t>
      </w:r>
    </w:p>
    <w:p>
      <w:pPr>
        <w:pStyle w:val="BodyText"/>
      </w:pPr>
      <w:r>
        <w:t xml:space="preserve">NIT: 901.234.567-8</w:t>
      </w:r>
    </w:p>
    <w:p>
      <w:pPr>
        <w:pStyle w:val="BodyText"/>
      </w:pPr>
      <w:r>
        <w:t xml:space="preserve">Lead Financial Analyst:</w:t>
      </w:r>
    </w:p>
    <w:p>
      <w:pPr>
        <w:pStyle w:val="BodyText"/>
      </w:pPr>
      <w:r>
        <w:t xml:space="preserve">Dr. Alejandro Vargas Mendoza</w:t>
      </w:r>
    </w:p>
    <w:p>
      <w:pPr>
        <w:pStyle w:val="BodyText"/>
      </w:pPr>
      <w:r>
        <w:t xml:space="preserve">Certified CFA, CPA Colombia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Comprehensive Financial Analysis and Quarterly Performance Review – Financial Analyst engagement for detailed P&amp;L analysis, balance sheet reconciliation, and cash flow forecasting for Q2 2025 operations in Colombia Bogotá market.</w:t>
            </w:r>
          </w:p>
        </w:tc>
        <w:tc>
          <w:tcPr/>
          <w:p>
            <w:pPr>
              <w:pStyle w:val="Compact"/>
              <w:jc w:val="left"/>
            </w:pPr>
            <w:r>
              <w:t xml:space="preserve">40</w:t>
            </w:r>
          </w:p>
        </w:tc>
        <w:tc>
          <w:tcPr/>
          <w:p>
            <w:pPr>
              <w:pStyle w:val="Compact"/>
              <w:jc w:val="left"/>
            </w:pPr>
            <w:r>
              <w:t xml:space="preserve">285.000</w:t>
            </w:r>
          </w:p>
        </w:tc>
        <w:tc>
          <w:tcPr/>
          <w:p>
            <w:pPr>
              <w:pStyle w:val="Compact"/>
              <w:jc w:val="left"/>
            </w:pPr>
            <w:r>
              <w:t xml:space="preserve">11.400.000</w:t>
            </w:r>
          </w:p>
        </w:tc>
      </w:tr>
      <w:tr>
        <w:tc>
          <w:tcPr/>
          <w:p>
            <w:pPr>
              <w:pStyle w:val="Compact"/>
              <w:jc w:val="left"/>
            </w:pPr>
            <w:r>
              <w:t xml:space="preserve">2</w:t>
            </w:r>
          </w:p>
        </w:tc>
        <w:tc>
          <w:tcPr/>
          <w:p>
            <w:pPr>
              <w:pStyle w:val="Compact"/>
              <w:jc w:val="left"/>
            </w:pPr>
            <w:r>
              <w:t xml:space="preserve">Budget Variance Analysis and Forecasting – The Financial Analyst conducted a thorough variance analysis comparing actual expenditures against the approved annual budget, identifying key cost drivers and providing corrective recommendations for the Bogotá-based operations division.</w:t>
            </w:r>
          </w:p>
        </w:tc>
        <w:tc>
          <w:tcPr/>
          <w:p>
            <w:pPr>
              <w:pStyle w:val="Compact"/>
              <w:jc w:val="left"/>
            </w:pPr>
            <w:r>
              <w:t xml:space="preserve">24</w:t>
            </w:r>
          </w:p>
        </w:tc>
        <w:tc>
          <w:tcPr/>
          <w:p>
            <w:pPr>
              <w:pStyle w:val="Compact"/>
              <w:jc w:val="left"/>
            </w:pPr>
            <w:r>
              <w:t xml:space="preserve">285.000</w:t>
            </w:r>
          </w:p>
        </w:tc>
        <w:tc>
          <w:tcPr/>
          <w:p>
            <w:pPr>
              <w:pStyle w:val="Compact"/>
              <w:jc w:val="left"/>
            </w:pPr>
            <w:r>
              <w:t xml:space="preserve">6.840.000</w:t>
            </w:r>
          </w:p>
        </w:tc>
      </w:tr>
      <w:tr>
        <w:tc>
          <w:tcPr/>
          <w:p>
            <w:pPr>
              <w:pStyle w:val="Compact"/>
              <w:jc w:val="left"/>
            </w:pPr>
            <w:r>
              <w:t xml:space="preserve">3</w:t>
            </w:r>
          </w:p>
        </w:tc>
        <w:tc>
          <w:tcPr/>
          <w:p>
            <w:pPr>
              <w:pStyle w:val="Compact"/>
              <w:jc w:val="left"/>
            </w:pPr>
            <w:r>
              <w:t xml:space="preserve">Investment Portfolio Evaluation and Risk Assessment – Financial Analyst performed a detailed risk-adjusted return analysis on the company's diversified investment portfolio, including fixed-income instruments denominated in Colombian pesos and foreign currency exposure hedging strategies.</w:t>
            </w:r>
          </w:p>
        </w:tc>
        <w:tc>
          <w:tcPr/>
          <w:p>
            <w:pPr>
              <w:pStyle w:val="Compact"/>
              <w:jc w:val="left"/>
            </w:pPr>
            <w:r>
              <w:t xml:space="preserve">32</w:t>
            </w:r>
          </w:p>
        </w:tc>
        <w:tc>
          <w:tcPr/>
          <w:p>
            <w:pPr>
              <w:pStyle w:val="Compact"/>
              <w:jc w:val="left"/>
            </w:pPr>
            <w:r>
              <w:t xml:space="preserve">310.000</w:t>
            </w:r>
          </w:p>
        </w:tc>
        <w:tc>
          <w:tcPr/>
          <w:p>
            <w:pPr>
              <w:pStyle w:val="Compact"/>
              <w:jc w:val="left"/>
            </w:pPr>
            <w:r>
              <w:t xml:space="preserve">9.920.000</w:t>
            </w:r>
          </w:p>
        </w:tc>
      </w:tr>
      <w:tr>
        <w:tc>
          <w:tcPr/>
          <w:p>
            <w:pPr>
              <w:pStyle w:val="Compact"/>
              <w:jc w:val="left"/>
            </w:pPr>
            <w:r>
              <w:t xml:space="preserve">4</w:t>
            </w:r>
          </w:p>
        </w:tc>
        <w:tc>
          <w:tcPr/>
          <w:p>
            <w:pPr>
              <w:pStyle w:val="Compact"/>
              <w:jc w:val="left"/>
            </w:pPr>
            <w:r>
              <w:t xml:space="preserve">Regulatory Compliance Review – DIAN Tax Obligations – The Financial Analyst reviewed all tax filings, VAT (IVA) declarations, and withholding tax compliance in accordance with Colombian tax regulations (Estatuto Tributario) applicable to entities operating in Colombia Bogotá.</w:t>
            </w:r>
          </w:p>
        </w:tc>
        <w:tc>
          <w:tcPr/>
          <w:p>
            <w:pPr>
              <w:pStyle w:val="Compact"/>
              <w:jc w:val="left"/>
            </w:pPr>
            <w:r>
              <w:t xml:space="preserve">16</w:t>
            </w:r>
          </w:p>
        </w:tc>
        <w:tc>
          <w:tcPr/>
          <w:p>
            <w:pPr>
              <w:pStyle w:val="Compact"/>
              <w:jc w:val="left"/>
            </w:pPr>
            <w:r>
              <w:t xml:space="preserve">310.000</w:t>
            </w:r>
          </w:p>
        </w:tc>
        <w:tc>
          <w:tcPr/>
          <w:p>
            <w:pPr>
              <w:pStyle w:val="Compact"/>
              <w:jc w:val="left"/>
            </w:pPr>
            <w:r>
              <w:t xml:space="preserve">4.960.000</w:t>
            </w:r>
          </w:p>
        </w:tc>
      </w:tr>
      <w:tr>
        <w:tc>
          <w:tcPr/>
          <w:p>
            <w:pPr>
              <w:pStyle w:val="Compact"/>
              <w:jc w:val="left"/>
            </w:pPr>
            <w:r>
              <w:t xml:space="preserve">5</w:t>
            </w:r>
          </w:p>
        </w:tc>
        <w:tc>
          <w:tcPr/>
          <w:p>
            <w:pPr>
              <w:pStyle w:val="Compact"/>
              <w:jc w:val="left"/>
            </w:pPr>
            <w:r>
              <w:t xml:space="preserve">Executive Presentation and Board Reporting – Preparation and delivery of a comprehensive financial dashboard and board-level presentation summarizing key performance indicators, liquidity ratios, and strategic financial outlook for the Colombia Bogotá metropolitan market.</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Ad-hoc Financial Modeling and Scenario Planning – The Financial Analyst developed three distinct financial scenarios (optimistic, base, and conservative) incorporating Colombian inflation projections, exchange rate volatility (USD/COP), and sector-specific growth assumptions for the Bogotá economic corridor.</w:t>
            </w:r>
          </w:p>
        </w:tc>
        <w:tc>
          <w:tcPr/>
          <w:p>
            <w:pPr>
              <w:pStyle w:val="Compact"/>
              <w:jc w:val="left"/>
            </w:pPr>
            <w:r>
              <w:t xml:space="preserve">20</w:t>
            </w:r>
          </w:p>
        </w:tc>
        <w:tc>
          <w:tcPr/>
          <w:p>
            <w:pPr>
              <w:pStyle w:val="Compact"/>
              <w:jc w:val="left"/>
            </w:pPr>
            <w:r>
              <w:t xml:space="preserve">310.000</w:t>
            </w:r>
          </w:p>
        </w:tc>
        <w:tc>
          <w:tcPr/>
          <w:p>
            <w:pPr>
              <w:pStyle w:val="Compact"/>
              <w:jc w:val="left"/>
            </w:pPr>
            <w:r>
              <w:t xml:space="preserve">6.200.000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43.520.000</w:t>
            </w:r>
          </w:p>
        </w:tc>
      </w:tr>
      <w:tr>
        <w:tc>
          <w:tcPr/>
          <w:p>
            <w:pPr>
              <w:pStyle w:val="Compact"/>
              <w:jc w:val="left"/>
            </w:pPr>
            <w:r>
              <w:t xml:space="preserve">VAT – IVA (19%)</w:t>
            </w:r>
          </w:p>
        </w:tc>
        <w:tc>
          <w:tcPr/>
          <w:p>
            <w:pPr>
              <w:pStyle w:val="Compact"/>
              <w:jc w:val="left"/>
            </w:pPr>
            <w:r>
              <w:t xml:space="preserve">8.268.800</w:t>
            </w:r>
          </w:p>
        </w:tc>
      </w:tr>
      <w:tr>
        <w:tc>
          <w:tcPr/>
          <w:p>
            <w:pPr>
              <w:pStyle w:val="Compact"/>
              <w:jc w:val="left"/>
            </w:pPr>
            <w:r>
              <w:t xml:space="preserve">Withholding Tax (4%)</w:t>
            </w:r>
          </w:p>
        </w:tc>
        <w:tc>
          <w:tcPr/>
          <w:p>
            <w:pPr>
              <w:pStyle w:val="Compact"/>
              <w:jc w:val="left"/>
            </w:pPr>
            <w:r>
              <w:t xml:space="preserve">(1.740.800)</w:t>
            </w:r>
          </w:p>
        </w:tc>
      </w:tr>
      <w:tr>
        <w:tc>
          <w:tcPr/>
          <w:p>
            <w:pPr>
              <w:pStyle w:val="Compact"/>
              <w:jc w:val="left"/>
            </w:pPr>
            <w:r>
              <w:t xml:space="preserve">Grand Total Due (COP)</w:t>
            </w:r>
          </w:p>
        </w:tc>
        <w:tc>
          <w:tcPr/>
          <w:p>
            <w:pPr>
              <w:pStyle w:val="Compact"/>
              <w:jc w:val="left"/>
            </w:pPr>
            <w:r>
              <w:t xml:space="preserve">50.048.000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Bogotá S.A.</w:t>
      </w:r>
    </w:p>
    <w:p>
      <w:pPr>
        <w:pStyle w:val="BodyText"/>
      </w:pPr>
      <w:r>
        <w:rPr>
          <w:bCs/>
          <w:b/>
        </w:rPr>
        <w:t xml:space="preserve">Account Name:</w:t>
      </w:r>
      <w:r>
        <w:t xml:space="preserve"> </w:t>
      </w:r>
      <w:r>
        <w:t xml:space="preserve">Andes Financial Consulting S.A.S.</w:t>
      </w:r>
    </w:p>
    <w:p>
      <w:pPr>
        <w:pStyle w:val="BodyText"/>
      </w:pPr>
      <w:r>
        <w:rPr>
          <w:bCs/>
          <w:b/>
        </w:rPr>
        <w:t xml:space="preserve">Account Number (Cuenta Corriente):</w:t>
      </w:r>
      <w:r>
        <w:t xml:space="preserve"> </w:t>
      </w:r>
      <w:r>
        <w:t xml:space="preserve">001-234567-89</w:t>
      </w:r>
    </w:p>
    <w:p>
      <w:pPr>
        <w:pStyle w:val="BodyText"/>
      </w:pPr>
      <w:r>
        <w:rPr>
          <w:bCs/>
          <w:b/>
        </w:rPr>
        <w:t xml:space="preserve">IBAN / SWIFT:</w:t>
      </w:r>
      <w:r>
        <w:t xml:space="preserve"> </w:t>
      </w:r>
      <w:r>
        <w:t xml:space="preserve">BOGACO1A / BOGACO1A</w:t>
      </w:r>
    </w:p>
    <w:p>
      <w:pPr>
        <w:pStyle w:val="BodyText"/>
      </w:pPr>
      <w:r>
        <w:rPr>
          <w:bCs/>
          <w:b/>
        </w:rPr>
        <w:t xml:space="preserve">Payment Method:</w:t>
      </w:r>
      <w:r>
        <w:t xml:space="preserve"> </w:t>
      </w:r>
      <w:r>
        <w:t xml:space="preserve">Transferencia Bancaria (Wire Transfer) or Cheque</w:t>
      </w:r>
    </w:p>
    <w:p>
      <w:pPr>
        <w:pStyle w:val="BodyText"/>
      </w:pPr>
      <w:r>
        <w:rPr>
          <w:bCs/>
          <w:b/>
        </w:rPr>
        <w:t xml:space="preserve">Reference:</w:t>
      </w:r>
      <w:r>
        <w:t xml:space="preserve"> </w:t>
      </w:r>
      <w:r>
        <w:t xml:space="preserve">Please reference Invoice No. AF-2025-00487 in all payment communications.</w:t>
      </w:r>
    </w:p>
    <w:p>
      <w:pPr>
        <w:pStyle w:val="BodyText"/>
      </w:pPr>
      <w:r>
        <w:rPr>
          <w:bCs/>
          <w:b/>
        </w:rPr>
        <w:t xml:space="preserve">Payment Terms:</w:t>
      </w:r>
      <w:r>
        <w:t xml:space="preserve"> </w:t>
      </w:r>
      <w:r>
        <w:t xml:space="preserve">Net 30 days from the date of issue. Late payments are subject to a penalty of 1.5% per month in accordance with Colombian commercial law (Código de Comercio, Art. 875).</w:t>
      </w:r>
    </w:p>
    <w:bookmarkEnd w:id="24"/>
    <w:bookmarkStart w:id="25" w:name="important-notes-and-terms"/>
    <w:p>
      <w:pPr>
        <w:pStyle w:val="Heading3"/>
      </w:pPr>
      <w:r>
        <w:t xml:space="preserve">Important Notes and Terms</w:t>
      </w:r>
    </w:p>
    <w:p>
      <w:pPr>
        <w:pStyle w:val="FirstParagraph"/>
      </w:pPr>
      <w:r>
        <w:t xml:space="preserve">1. This Invoice has been issued in compliance with the electronic invoicing regulations established by the Dirección de Impuestos y Aduanas Nacionales (DIAN) of Colombia. The electronic document number (Folio) is: 2025-06-15-00487-AND.</w:t>
      </w:r>
    </w:p>
    <w:p>
      <w:pPr>
        <w:pStyle w:val="BodyText"/>
      </w:pPr>
      <w:r>
        <w:t xml:space="preserve">2. All services rendered by the Financial Analyst were performed in accordance with the professional standards set by the Colombian Institute of Public Accountants (ICPC) and the International Financial Reporting Standards (IFRS) as adopted in Colombia.</w:t>
      </w:r>
    </w:p>
    <w:p>
      <w:pPr>
        <w:pStyle w:val="BodyText"/>
      </w:pPr>
      <w:r>
        <w:t xml:space="preserve">3. The rates quoted in this Invoice are exclusive of applicable taxes. The 19% IVA (Impuesto al Valor Agregado) has been applied as mandated by Colombian tax law for professional services rendered in Colombia Bogotá.</w:t>
      </w:r>
    </w:p>
    <w:p>
      <w:pPr>
        <w:pStyle w:val="BodyText"/>
      </w:pPr>
      <w:r>
        <w:t xml:space="preserve">4. The 4% withholding tax (Retención en la Fuente) has been deducted at source in accordance with Article 382 of the Colombian Tax Statute (Estatuto Tributario).</w:t>
      </w:r>
    </w:p>
    <w:p>
      <w:pPr>
        <w:pStyle w:val="BodyText"/>
      </w:pPr>
      <w:r>
        <w:t xml:space="preserve">5. This Invoice is valid for 30 calendar days from the issue date. After this period, the amounts may be subject to revision based on prevailing exchange rates and inflation indices published by the Banco de la República.</w:t>
      </w:r>
    </w:p>
    <w:p>
      <w:pPr>
        <w:pStyle w:val="BodyText"/>
      </w:pPr>
      <w:r>
        <w:t xml:space="preserve">6. All intellectual property, financial models, analyses, and reports produced by the Financial Analyst during the engagement period remain the exclusive property of Andes Financial Consulting S.A.S. unless otherwise agreed in writing.</w:t>
      </w:r>
    </w:p>
    <w:p>
      <w:pPr>
        <w:pStyle w:val="BodyText"/>
      </w:pPr>
      <w:r>
        <w:t xml:space="preserve">7. For any disputes arising from this Invoice, the parties agree to submit to the jurisdiction of the commercial courts of Bogotá D.C., Colombia, in accordance with applicable Colombian law.</w:t>
      </w:r>
    </w:p>
    <w:bookmarkEnd w:id="25"/>
    <w:p>
      <w:pPr>
        <w:pStyle w:val="BodyText"/>
      </w:pPr>
      <w:r>
        <w:rPr>
          <w:bCs/>
          <w:b/>
        </w:rPr>
        <w:t xml:space="preserve">Andes Financial Consulting S.A.S.</w:t>
      </w:r>
      <w:r>
        <w:t xml:space="preserve"> </w:t>
      </w:r>
      <w:r>
        <w:t xml:space="preserve">– Professional Financial Analysis and Advisory Services</w:t>
      </w:r>
    </w:p>
    <w:p>
      <w:pPr>
        <w:pStyle w:val="BodyText"/>
      </w:pPr>
      <w:r>
        <w:t xml:space="preserve">Registered in the Cámara de Comercio de Bogotá – RUT: 901.234.567-8</w:t>
      </w:r>
    </w:p>
    <w:p>
      <w:pPr>
        <w:pStyle w:val="BodyText"/>
      </w:pPr>
      <w:r>
        <w:t xml:space="preserve">This Invoice was generated electronically and is valid without a physical signature per DIAN Resolution 000470 of 2024.</w:t>
      </w:r>
    </w:p>
    <w:p>
      <w:pPr>
        <w:pStyle w:val="BodyText"/>
      </w:pPr>
      <w:r>
        <w:t xml:space="preserve">Thank you for your business. We appreciate the opportunity to serve as your trusted Financial Analyst partner in Colombia Bogotá.</w:t>
      </w:r>
    </w:p>
    <w:p>
      <w:pPr>
        <w:pStyle w:val="BodyText"/>
      </w:pPr>
      <w:r>
        <w:t xml:space="preserve">Document generated on: June 15, 2025 | Page 1 of 1 | Invoice AF-2025-00487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Colombia Bogotá</dc:title>
  <dc:creator/>
  <dc:language>en</dc:language>
  <cp:keywords/>
  <dcterms:created xsi:type="dcterms:W3CDTF">2026-10-10T07:02:54Z</dcterms:created>
  <dcterms:modified xsi:type="dcterms:W3CDTF">2026-10-10T07:02:54Z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