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financial-advisory-group"/>
    <w:p>
      <w:pPr>
        <w:pStyle w:val="Heading1"/>
      </w:pPr>
      <w:r>
        <w:t xml:space="preserve">Alexandria Financial Advisory Group</w:t>
      </w:r>
    </w:p>
    <w:p>
      <w:pPr>
        <w:pStyle w:val="FirstParagraph"/>
      </w:pPr>
      <w:r>
        <w:t xml:space="preserve">12 Corniche El-Nil Street, Smouha District</w:t>
      </w:r>
    </w:p>
    <w:p>
      <w:pPr>
        <w:pStyle w:val="BodyText"/>
      </w:pPr>
      <w:r>
        <w:t xml:space="preserve">Alexandria, Egypt 21543</w:t>
      </w:r>
    </w:p>
    <w:p>
      <w:pPr>
        <w:pStyle w:val="BodyText"/>
      </w:pPr>
      <w:r>
        <w:t xml:space="preserve">Tel: +20 3 555 7842 | Email: billing@alexfinadvisory.com.eg</w:t>
      </w:r>
    </w:p>
    <w:p>
      <w:pPr>
        <w:pStyle w:val="BodyText"/>
      </w:pPr>
      <w:r>
        <w:t xml:space="preserve">Tax Registration No. (TRN): 552-884-123-776</w:t>
      </w:r>
    </w:p>
    <w:p>
      <w:pPr>
        <w:pStyle w:val="BodyText"/>
      </w:pPr>
      <w:r>
        <w:t xml:space="preserve">Certified Financial Analyst Firm</w:t>
      </w:r>
    </w:p>
    <w:bookmarkEnd w:id="20"/>
    <w:bookmarkStart w:id="21" w:name="invoice"/>
    <w:p>
      <w:pPr>
        <w:pStyle w:val="Heading2"/>
      </w:pPr>
      <w:r>
        <w:t xml:space="preserve">INVOICE</w:t>
      </w:r>
    </w:p>
    <w:p>
      <w:pPr>
        <w:pStyle w:val="FirstParagraph"/>
      </w:pPr>
      <w:r>
        <w:t xml:space="preserve">Invoice No: AFG-2025-0347</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Medina Port Logistics S.A.E.</w:t>
      </w:r>
    </w:p>
    <w:p>
      <w:pPr>
        <w:pStyle w:val="BodyText"/>
      </w:pPr>
      <w:r>
        <w:t xml:space="preserve">45 El-Gabash Street, El-Montaza</w:t>
      </w:r>
    </w:p>
    <w:p>
      <w:pPr>
        <w:pStyle w:val="BodyText"/>
      </w:pPr>
      <w:r>
        <w:t xml:space="preserve">Alexandria, Egypt 21522</w:t>
      </w:r>
    </w:p>
    <w:p>
      <w:pPr>
        <w:pStyle w:val="BodyText"/>
      </w:pPr>
      <w:r>
        <w:t xml:space="preserve">Attn: Mr. Khaled El-Sayed, CFO</w:t>
      </w:r>
    </w:p>
    <w:p>
      <w:pPr>
        <w:pStyle w:val="BodyText"/>
      </w:pPr>
      <w:r>
        <w:t xml:space="preserve">Tel: +20 3 488 2210</w:t>
      </w:r>
    </w:p>
    <w:bookmarkEnd w:id="22"/>
    <w:bookmarkStart w:id="23" w:name="service-details"/>
    <w:p>
      <w:pPr>
        <w:pStyle w:val="Heading3"/>
      </w:pPr>
      <w:r>
        <w:t xml:space="preserve">Service Details</w:t>
      </w:r>
    </w:p>
    <w:p>
      <w:pPr>
        <w:pStyle w:val="FirstParagraph"/>
      </w:pPr>
      <w:r>
        <w:rPr>
          <w:bCs/>
          <w:b/>
        </w:rPr>
        <w:t xml:space="preserve">Eng. Mona Farouk, CFA</w:t>
      </w:r>
    </w:p>
    <w:p>
      <w:pPr>
        <w:pStyle w:val="BodyText"/>
      </w:pPr>
      <w:r>
        <w:t xml:space="preserve">Senior Financial Analyst</w:t>
      </w:r>
    </w:p>
    <w:p>
      <w:pPr>
        <w:pStyle w:val="BodyText"/>
      </w:pPr>
      <w:r>
        <w:t xml:space="preserve">Engagement Ref: EGY-ALX-2025-089</w:t>
      </w:r>
    </w:p>
    <w:p>
      <w:pPr>
        <w:pStyle w:val="BodyText"/>
      </w:pPr>
      <w:r>
        <w:t xml:space="preserve">Period: 1 May 2025 – 31 May 2025</w:t>
      </w:r>
    </w:p>
    <w:p>
      <w:pPr>
        <w:pStyle w:val="BodyText"/>
      </w:pPr>
      <w:r>
        <w:t xml:space="preserve">Location: Egypt Alexandria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(EGP)</w:t>
            </w:r>
          </w:p>
        </w:tc>
        <w:tc>
          <w:tcPr/>
          <w:p>
            <w:pPr>
              <w:pStyle w:val="Compact"/>
              <w:jc w:val="left"/>
            </w:pPr>
            <w:r>
              <w:t xml:space="preserve">Hours</w:t>
            </w:r>
          </w:p>
        </w:tc>
        <w:tc>
          <w:tcPr/>
          <w:p>
            <w:pPr>
              <w:pStyle w:val="Compact"/>
              <w:jc w:val="left"/>
            </w:pPr>
            <w:r>
              <w:t xml:space="preserve">Amount (EGP)</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Comprehensive financial statement analysis and ratio assessment for Q1 2025 operations at the Egypt Alexandria headquarters</w:t>
            </w:r>
          </w:p>
        </w:tc>
        <w:tc>
          <w:tcPr/>
          <w:p>
            <w:pPr>
              <w:pStyle w:val="Compact"/>
              <w:jc w:val="left"/>
            </w:pPr>
            <w:r>
              <w:t xml:space="preserve">1,850</w:t>
            </w:r>
          </w:p>
        </w:tc>
        <w:tc>
          <w:tcPr/>
          <w:p>
            <w:pPr>
              <w:pStyle w:val="Compact"/>
              <w:jc w:val="left"/>
            </w:pPr>
            <w:r>
              <w:t xml:space="preserve">24</w:t>
            </w:r>
          </w:p>
        </w:tc>
        <w:tc>
          <w:tcPr/>
          <w:p>
            <w:pPr>
              <w:pStyle w:val="Compact"/>
              <w:jc w:val="left"/>
            </w:pPr>
            <w:r>
              <w:t xml:space="preserve">44,400.00</w:t>
            </w:r>
          </w:p>
        </w:tc>
        <w:tc>
          <w:tcPr/>
          <w:p>
            <w:pPr>
              <w:pStyle w:val="Compact"/>
              <w:jc w:val="left"/>
            </w:pPr>
            <w:r>
              <w:t xml:space="preserve">Task Code: FA-ALX-001</w:t>
            </w:r>
          </w:p>
        </w:tc>
      </w:tr>
      <w:tr>
        <w:tc>
          <w:tcPr/>
          <w:p>
            <w:pPr>
              <w:pStyle w:val="Compact"/>
              <w:jc w:val="left"/>
            </w:pPr>
            <w:r>
              <w:t xml:space="preserve">2</w:t>
            </w:r>
          </w:p>
        </w:tc>
        <w:tc>
          <w:tcPr/>
          <w:p>
            <w:pPr>
              <w:pStyle w:val="Compact"/>
              <w:jc w:val="left"/>
            </w:pPr>
            <w:r>
              <w:t xml:space="preserve">Preparation of cash flow forecasting models and liquidity risk assessment for the Alexandria port operations division</w:t>
            </w:r>
          </w:p>
        </w:tc>
        <w:tc>
          <w:tcPr/>
          <w:p>
            <w:pPr>
              <w:pStyle w:val="Compact"/>
              <w:jc w:val="left"/>
            </w:pPr>
            <w:r>
              <w:t xml:space="preserve">1,850</w:t>
            </w:r>
          </w:p>
        </w:tc>
        <w:tc>
          <w:tcPr/>
          <w:p>
            <w:pPr>
              <w:pStyle w:val="Compact"/>
              <w:jc w:val="left"/>
            </w:pPr>
            <w:r>
              <w:t xml:space="preserve">18</w:t>
            </w:r>
          </w:p>
        </w:tc>
        <w:tc>
          <w:tcPr/>
          <w:p>
            <w:pPr>
              <w:pStyle w:val="Compact"/>
              <w:jc w:val="left"/>
            </w:pPr>
            <w:r>
              <w:t xml:space="preserve">33,300.00</w:t>
            </w:r>
          </w:p>
        </w:tc>
        <w:tc>
          <w:tcPr/>
          <w:p>
            <w:pPr>
              <w:pStyle w:val="Compact"/>
              <w:jc w:val="left"/>
            </w:pPr>
            <w:r>
              <w:t xml:space="preserve">Task Code: FA-ALX-002</w:t>
            </w:r>
          </w:p>
        </w:tc>
      </w:tr>
      <w:tr>
        <w:tc>
          <w:tcPr/>
          <w:p>
            <w:pPr>
              <w:pStyle w:val="Compact"/>
              <w:jc w:val="left"/>
            </w:pPr>
            <w:r>
              <w:t xml:space="preserve">3</w:t>
            </w:r>
          </w:p>
        </w:tc>
        <w:tc>
          <w:tcPr/>
          <w:p>
            <w:pPr>
              <w:pStyle w:val="Compact"/>
              <w:jc w:val="left"/>
            </w:pPr>
            <w:r>
              <w:t xml:space="preserve">Capital budgeting analysis and NPV/IRR evaluation for proposed expansion project in the Smouha industrial zone, Egypt Alexandria</w:t>
            </w:r>
          </w:p>
        </w:tc>
        <w:tc>
          <w:tcPr/>
          <w:p>
            <w:pPr>
              <w:pStyle w:val="Compact"/>
              <w:jc w:val="left"/>
            </w:pPr>
            <w:r>
              <w:t xml:space="preserve">2,200</w:t>
            </w:r>
          </w:p>
        </w:tc>
        <w:tc>
          <w:tcPr/>
          <w:p>
            <w:pPr>
              <w:pStyle w:val="Compact"/>
              <w:jc w:val="left"/>
            </w:pPr>
            <w:r>
              <w:t xml:space="preserve">16</w:t>
            </w:r>
          </w:p>
        </w:tc>
        <w:tc>
          <w:tcPr/>
          <w:p>
            <w:pPr>
              <w:pStyle w:val="Compact"/>
              <w:jc w:val="left"/>
            </w:pPr>
            <w:r>
              <w:t xml:space="preserve">35,200.00</w:t>
            </w:r>
          </w:p>
        </w:tc>
        <w:tc>
          <w:tcPr/>
          <w:p>
            <w:pPr>
              <w:pStyle w:val="Compact"/>
              <w:jc w:val="left"/>
            </w:pPr>
            <w:r>
              <w:t xml:space="preserve">Task Code: FA-ALX-003</w:t>
            </w:r>
          </w:p>
        </w:tc>
      </w:tr>
      <w:tr>
        <w:tc>
          <w:tcPr/>
          <w:p>
            <w:pPr>
              <w:pStyle w:val="Compact"/>
              <w:jc w:val="left"/>
            </w:pPr>
            <w:r>
              <w:t xml:space="preserve">4</w:t>
            </w:r>
          </w:p>
        </w:tc>
        <w:tc>
          <w:tcPr/>
          <w:p>
            <w:pPr>
              <w:pStyle w:val="Compact"/>
              <w:jc w:val="left"/>
            </w:pPr>
            <w:r>
              <w:t xml:space="preserve">Monthly variance analysis report comparing actual performance against budget for the Alexandria regional branch</w:t>
            </w:r>
          </w:p>
        </w:tc>
        <w:tc>
          <w:tcPr/>
          <w:p>
            <w:pPr>
              <w:pStyle w:val="Compact"/>
              <w:jc w:val="left"/>
            </w:pPr>
            <w:r>
              <w:t xml:space="preserve">1,500</w:t>
            </w:r>
          </w:p>
        </w:tc>
        <w:tc>
          <w:tcPr/>
          <w:p>
            <w:pPr>
              <w:pStyle w:val="Compact"/>
              <w:jc w:val="left"/>
            </w:pPr>
            <w:r>
              <w:t xml:space="preserve">12</w:t>
            </w:r>
          </w:p>
        </w:tc>
        <w:tc>
          <w:tcPr/>
          <w:p>
            <w:pPr>
              <w:pStyle w:val="Compact"/>
              <w:jc w:val="left"/>
            </w:pPr>
            <w:r>
              <w:t xml:space="preserve">18,000.00</w:t>
            </w:r>
          </w:p>
        </w:tc>
        <w:tc>
          <w:tcPr/>
          <w:p>
            <w:pPr>
              <w:pStyle w:val="Compact"/>
              <w:jc w:val="left"/>
            </w:pPr>
            <w:r>
              <w:t xml:space="preserve">Task Code: FA-ALX-004</w:t>
            </w:r>
          </w:p>
        </w:tc>
      </w:tr>
      <w:tr>
        <w:tc>
          <w:tcPr/>
          <w:p>
            <w:pPr>
              <w:pStyle w:val="Compact"/>
              <w:jc w:val="left"/>
            </w:pPr>
            <w:r>
              <w:t xml:space="preserve">5</w:t>
            </w:r>
          </w:p>
        </w:tc>
        <w:tc>
          <w:tcPr/>
          <w:p>
            <w:pPr>
              <w:pStyle w:val="Compact"/>
              <w:jc w:val="left"/>
            </w:pPr>
            <w:r>
              <w:t xml:space="preserve">Ad-hoc advisory consultation on tax optimization strategies compliant with Egyptian Financial Regulatory Authority (FRA) guidelines</w:t>
            </w:r>
          </w:p>
        </w:tc>
        <w:tc>
          <w:tcPr/>
          <w:p>
            <w:pPr>
              <w:pStyle w:val="Compact"/>
              <w:jc w:val="left"/>
            </w:pPr>
            <w:r>
              <w:t xml:space="preserve">2,500</w:t>
            </w:r>
          </w:p>
        </w:tc>
        <w:tc>
          <w:tcPr/>
          <w:p>
            <w:pPr>
              <w:pStyle w:val="Compact"/>
              <w:jc w:val="left"/>
            </w:pPr>
            <w:r>
              <w:t xml:space="preserve">8</w:t>
            </w:r>
          </w:p>
        </w:tc>
        <w:tc>
          <w:tcPr/>
          <w:p>
            <w:pPr>
              <w:pStyle w:val="Compact"/>
              <w:jc w:val="left"/>
            </w:pPr>
            <w:r>
              <w:t xml:space="preserve">20,000.00</w:t>
            </w:r>
          </w:p>
        </w:tc>
        <w:tc>
          <w:tcPr/>
          <w:p>
            <w:pPr>
              <w:pStyle w:val="Compact"/>
              <w:jc w:val="left"/>
            </w:pPr>
            <w:r>
              <w:t xml:space="preserve">Task Code: FA-ALX-005</w:t>
            </w:r>
          </w:p>
        </w:tc>
      </w:tr>
      <w:tr>
        <w:tc>
          <w:tcPr/>
          <w:p>
            <w:pPr>
              <w:pStyle w:val="Compact"/>
              <w:jc w:val="left"/>
            </w:pPr>
            <w:r>
              <w:t xml:space="preserve">6</w:t>
            </w:r>
          </w:p>
        </w:tc>
        <w:tc>
          <w:tcPr/>
          <w:p>
            <w:pPr>
              <w:pStyle w:val="Compact"/>
              <w:jc w:val="left"/>
            </w:pPr>
            <w:r>
              <w:t xml:space="preserve">Preparation of investor presentation materials and financial modeling for potential Series B funding round</w:t>
            </w:r>
          </w:p>
        </w:tc>
        <w:tc>
          <w:tcPr/>
          <w:p>
            <w:pPr>
              <w:pStyle w:val="Compact"/>
              <w:jc w:val="left"/>
            </w:pPr>
            <w:r>
              <w:t xml:space="preserve">2,200</w:t>
            </w:r>
          </w:p>
        </w:tc>
        <w:tc>
          <w:tcPr/>
          <w:p>
            <w:pPr>
              <w:pStyle w:val="Compact"/>
              <w:jc w:val="left"/>
            </w:pPr>
            <w:r>
              <w:t xml:space="preserve">14</w:t>
            </w:r>
          </w:p>
        </w:tc>
        <w:tc>
          <w:tcPr/>
          <w:p>
            <w:pPr>
              <w:pStyle w:val="Compact"/>
              <w:jc w:val="left"/>
            </w:pPr>
            <w:r>
              <w:t xml:space="preserve">30,800.00</w:t>
            </w:r>
          </w:p>
        </w:tc>
        <w:tc>
          <w:tcPr/>
          <w:p>
            <w:pPr>
              <w:pStyle w:val="Compact"/>
              <w:jc w:val="left"/>
            </w:pPr>
            <w:r>
              <w:t xml:space="preserve">Task Code: FA-ALX-006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181,700.00 EGP</w:t>
            </w:r>
          </w:p>
        </w:tc>
      </w:tr>
      <w:tr>
        <w:tc>
          <w:tcPr/>
          <w:p>
            <w:pPr>
              <w:pStyle w:val="Compact"/>
              <w:jc w:val="left"/>
            </w:pPr>
            <w:r>
              <w:t xml:space="preserve">VAT (14% – Egyptian Tax Authority)</w:t>
            </w:r>
          </w:p>
        </w:tc>
        <w:tc>
          <w:tcPr/>
          <w:p>
            <w:pPr>
              <w:pStyle w:val="Compact"/>
              <w:jc w:val="right"/>
            </w:pPr>
            <w:r>
              <w:t xml:space="preserve">25,438.00 EGP</w:t>
            </w:r>
          </w:p>
        </w:tc>
      </w:tr>
      <w:tr>
        <w:tc>
          <w:tcPr/>
          <w:p>
            <w:pPr>
              <w:pStyle w:val="Compact"/>
              <w:jc w:val="left"/>
            </w:pPr>
            <w:r>
              <w:t xml:space="preserve">Service Fee (2%)</w:t>
            </w:r>
          </w:p>
        </w:tc>
        <w:tc>
          <w:tcPr/>
          <w:p>
            <w:pPr>
              <w:pStyle w:val="Compact"/>
              <w:jc w:val="right"/>
            </w:pPr>
            <w:r>
              <w:t xml:space="preserve">3,634.00 EGP</w:t>
            </w:r>
          </w:p>
        </w:tc>
      </w:tr>
      <w:tr>
        <w:tc>
          <w:tcPr/>
          <w:p>
            <w:pPr>
              <w:pStyle w:val="Compact"/>
              <w:jc w:val="left"/>
            </w:pPr>
            <w:r>
              <w:t xml:space="preserve">Grand Total Due</w:t>
            </w:r>
          </w:p>
        </w:tc>
        <w:tc>
          <w:tcPr/>
          <w:p>
            <w:pPr>
              <w:pStyle w:val="Compact"/>
              <w:jc w:val="right"/>
            </w:pPr>
            <w:r>
              <w:t xml:space="preserve">210,772.00 EGP</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Alexandria National Bank, Branch: Smouha, Account Name: Alexandria Financial Advisory Group, Account No: 0045-8821-3367-9912, SWIFT: ALEGECA001.</w:t>
      </w:r>
    </w:p>
    <w:p>
      <w:pPr>
        <w:pStyle w:val="BodyText"/>
      </w:pPr>
      <w:r>
        <w:rPr>
          <w:bCs/>
          <w:b/>
        </w:rPr>
        <w:t xml:space="preserve">Important:</w:t>
      </w:r>
      <w:r>
        <w:t xml:space="preserve"> </w:t>
      </w:r>
      <w:r>
        <w:t xml:space="preserve">This Invoice covers professional services rendered by our certified Financial Analyst team during the month of May 2025. All analyses were conducted in compliance with Egyptian accounting standards (EAS) and International Financial Reporting Standards (IFRS) as adopted in Egypt.</w:t>
      </w:r>
    </w:p>
    <w:p>
      <w:pPr>
        <w:pStyle w:val="BodyText"/>
      </w:pPr>
      <w:r>
        <w:rPr>
          <w:bCs/>
          <w:b/>
        </w:rPr>
        <w:t xml:space="preserve">Reference:</w:t>
      </w:r>
      <w:r>
        <w:t xml:space="preserve"> </w:t>
      </w:r>
      <w:r>
        <w:t xml:space="preserve">Please quote Invoice number AFG-2025-0347 on all correspondence and payment remittances. Late payments beyond the due date of 30 June 2025 will incur a penalty of 1.5% per month as stipulated in our service agreement.</w:t>
      </w:r>
    </w:p>
    <w:p>
      <w:pPr>
        <w:pStyle w:val="BodyText"/>
      </w:pPr>
      <w:r>
        <w:rPr>
          <w:bCs/>
          <w:b/>
        </w:rPr>
        <w:t xml:space="preserve">Location Note:</w:t>
      </w:r>
      <w:r>
        <w:t xml:space="preserve"> </w:t>
      </w:r>
      <w:r>
        <w:t xml:space="preserve">All on-site consultations and data collection for this engagement were performed at our Egypt Alexandria office located at 12 Corniche El-Nil Street, Smouha. Client data was handled in accordance with Egypt's Personal Data Protection Law (Law No. 151 of 2020).</w:t>
      </w:r>
    </w:p>
    <w:bookmarkEnd w:id="24"/>
    <w:bookmarkStart w:id="25" w:name="terms-and-conditions"/>
    <w:p>
      <w:pPr>
        <w:pStyle w:val="Heading3"/>
      </w:pPr>
      <w:r>
        <w:t xml:space="preserve">Terms and Conditions</w:t>
      </w:r>
    </w:p>
    <w:p>
      <w:pPr>
        <w:pStyle w:val="FirstParagraph"/>
      </w:pPr>
      <w:r>
        <w:t xml:space="preserve">1. This Invoice is valid for 30 days from the issue date. Payment is due within 15 calendar days of the issue date as per the master service agreement signed on 1 January 2025.</w:t>
      </w:r>
    </w:p>
    <w:p>
      <w:pPr>
        <w:pStyle w:val="BodyText"/>
      </w:pPr>
      <w:r>
        <w:t xml:space="preserve">2. All Financial Analyst deliverables referenced in this Invoice, including but not limited to financial models, analytical reports, and advisory memoranda, remain the intellectual property of Alexandria Financial Advisory Group until full payment is received.</w:t>
      </w:r>
    </w:p>
    <w:p>
      <w:pPr>
        <w:pStyle w:val="BodyText"/>
      </w:pPr>
      <w:r>
        <w:t xml:space="preserve">3. Disputes arising from this Invoice shall be resolved through arbitration in Alexandria, Egypt, in accordance with the rules of the Egyptian Arbitration Center.</w:t>
      </w:r>
    </w:p>
    <w:p>
      <w:pPr>
        <w:pStyle w:val="BodyText"/>
      </w:pPr>
      <w:r>
        <w:t xml:space="preserve">4. This Invoice is subject to the general terms and conditions of Alexandria Financial Advisory Group, a registered entity in Egypt Alexandria, governed by the laws of the Arab Republic of Egypt.</w:t>
      </w:r>
    </w:p>
    <w:p>
      <w:pPr>
        <w:pStyle w:val="BodyText"/>
      </w:pPr>
      <w:r>
        <w:t xml:space="preserve">5. The Financial Analyst services described herein were performed by qualified professionals holding CFA, CPA, or equivalent certifications recognized by the Egyptian Financial Regulatory Authority.</w:t>
      </w:r>
    </w:p>
    <w:bookmarkEnd w:id="25"/>
    <w:p>
      <w:pPr>
        <w:pStyle w:val="BodyText"/>
      </w:pPr>
      <w:r>
        <w:t xml:space="preserve">Alexandria Financial Advisory Group | 12 Corniche El-Nil Street, Smouha, Egypt Alexandria 21543</w:t>
      </w:r>
    </w:p>
    <w:p>
      <w:pPr>
        <w:pStyle w:val="BodyText"/>
      </w:pPr>
      <w:r>
        <w:t xml:space="preserve">Commercial Registration No: 184729 | Tax ID: 552-884-123-776 | FRA License: FIN-2019-0456</w:t>
      </w:r>
    </w:p>
    <w:p>
      <w:pPr>
        <w:pStyle w:val="BodyText"/>
      </w:pPr>
      <w:r>
        <w:t xml:space="preserve">This Invoice was generated electronically and is valid without a physical signature. For verification, contact billing@alexfinadvisory.com.eg</w:t>
      </w:r>
    </w:p>
    <w:p>
      <w:pPr>
        <w:pStyle w:val="BodyText"/>
      </w:pPr>
      <w:r>
        <w:t xml:space="preserve">© 2025 Alexandria Financial Advisory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Egypt Alexandria</dc:title>
  <dc:creator/>
  <dc:language>en</dc:language>
  <cp:keywords/>
  <dcterms:created xsi:type="dcterms:W3CDTF">2026-10-10T10:21:02Z</dcterms:created>
  <dcterms:modified xsi:type="dcterms:W3CDTF">2026-10-10T10:21:02Z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