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Egypt</w:t>
      </w:r>
      <w:r>
        <w:t xml:space="preserve"> </w:t>
      </w:r>
      <w:r>
        <w:t xml:space="preserve">Cairo</w:t>
      </w:r>
    </w:p>
    <w:bookmarkStart w:id="20" w:name="nile-capital-advisory-group"/>
    <w:p>
      <w:pPr>
        <w:pStyle w:val="Heading1"/>
      </w:pPr>
      <w:r>
        <w:t xml:space="preserve">Nile Capital Advisory Group</w:t>
      </w:r>
    </w:p>
    <w:p>
      <w:pPr>
        <w:pStyle w:val="FirstParagraph"/>
      </w:pPr>
      <w:r>
        <w:t xml:space="preserve">Financial Analyst &amp; Consulting Services</w:t>
      </w:r>
    </w:p>
    <w:p>
      <w:pPr>
        <w:pStyle w:val="BodyText"/>
      </w:pPr>
      <w:r>
        <w:t xml:space="preserve">12th Floor, Cairo Business Tower, Nasr City</w:t>
      </w:r>
    </w:p>
    <w:p>
      <w:pPr>
        <w:pStyle w:val="BodyText"/>
      </w:pPr>
      <w:r>
        <w:t xml:space="preserve">Cairo, Egypt 11341</w:t>
      </w:r>
    </w:p>
    <w:p>
      <w:pPr>
        <w:pStyle w:val="BodyText"/>
      </w:pPr>
      <w:r>
        <w:t xml:space="preserve">Tel: +20 2 2534 7890 | Email: billing@nilecapital-eg.com</w:t>
      </w:r>
    </w:p>
    <w:p>
      <w:pPr>
        <w:pStyle w:val="BodyText"/>
      </w:pPr>
      <w:r>
        <w:t xml:space="preserve">Tax Registration No. (TRN): 512-984-736-201</w:t>
      </w:r>
    </w:p>
    <w:bookmarkEnd w:id="20"/>
    <w:bookmarkStart w:id="21" w:name="invoice"/>
    <w:p>
      <w:pPr>
        <w:pStyle w:val="Heading2"/>
      </w:pPr>
      <w:r>
        <w:t xml:space="preserve">INVOICE</w:t>
      </w:r>
    </w:p>
    <w:p>
      <w:pPr>
        <w:pStyle w:val="FirstParagraph"/>
      </w:pPr>
      <w:r>
        <w:t xml:space="preserve">PROFESSIONAL SERVICES</w:t>
      </w:r>
    </w:p>
    <w:p>
      <w:pPr>
        <w:pStyle w:val="BodyText"/>
      </w:pPr>
      <w:r>
        <w:t xml:space="preserve">Invoice No: NCA-2025-04871</w:t>
      </w:r>
    </w:p>
    <w:p>
      <w:pPr>
        <w:pStyle w:val="BodyText"/>
      </w:pPr>
      <w:r>
        <w:t xml:space="preserve">Date: 15 June 2025</w:t>
      </w:r>
    </w:p>
    <w:p>
      <w:pPr>
        <w:pStyle w:val="BodyText"/>
      </w:pPr>
      <w:r>
        <w:t xml:space="preserve">Due Date: 30 June 2025</w:t>
      </w:r>
    </w:p>
    <w:bookmarkEnd w:id="21"/>
    <w:bookmarkStart w:id="22" w:name="billed-to"/>
    <w:p>
      <w:pPr>
        <w:pStyle w:val="Heading3"/>
      </w:pPr>
      <w:r>
        <w:t xml:space="preserve">Billed To</w:t>
      </w:r>
    </w:p>
    <w:p>
      <w:pPr>
        <w:pStyle w:val="FirstParagraph"/>
      </w:pPr>
      <w:r>
        <w:rPr>
          <w:bCs/>
          <w:b/>
        </w:rPr>
        <w:t xml:space="preserve">Al-Ahram Industrial Holdings S.A.E.</w:t>
      </w:r>
    </w:p>
    <w:p>
      <w:pPr>
        <w:pStyle w:val="BodyText"/>
      </w:pPr>
      <w:r>
        <w:t xml:space="preserve">Attn: Mr. Khaled Mansour, CFO</w:t>
      </w:r>
    </w:p>
    <w:p>
      <w:pPr>
        <w:pStyle w:val="BodyText"/>
      </w:pPr>
      <w:r>
        <w:t xml:space="preserve">45 El-Tahrir Street, Downtown</w:t>
      </w:r>
    </w:p>
    <w:p>
      <w:pPr>
        <w:pStyle w:val="BodyText"/>
      </w:pPr>
      <w:r>
        <w:t xml:space="preserve">Cairo, Egypt 11511</w:t>
      </w:r>
    </w:p>
    <w:p>
      <w:pPr>
        <w:pStyle w:val="BodyText"/>
      </w:pPr>
      <w:r>
        <w:t xml:space="preserve">VAT No: 552-331-890-447</w:t>
      </w:r>
    </w:p>
    <w:bookmarkEnd w:id="22"/>
    <w:bookmarkStart w:id="23" w:name="service-details"/>
    <w:p>
      <w:pPr>
        <w:pStyle w:val="Heading3"/>
      </w:pPr>
      <w:r>
        <w:t xml:space="preserve">Service Details</w:t>
      </w:r>
    </w:p>
    <w:p>
      <w:pPr>
        <w:pStyle w:val="FirstParagraph"/>
      </w:pPr>
      <w:r>
        <w:rPr>
          <w:bCs/>
          <w:b/>
        </w:rPr>
        <w:t xml:space="preserve">Service Type:</w:t>
      </w:r>
      <w:r>
        <w:t xml:space="preserve"> </w:t>
      </w:r>
      <w:r>
        <w:t xml:space="preserve">Financial Analyst Engagement</w:t>
      </w:r>
    </w:p>
    <w:p>
      <w:pPr>
        <w:pStyle w:val="BodyText"/>
      </w:pPr>
      <w:r>
        <w:rPr>
          <w:bCs/>
          <w:b/>
        </w:rPr>
        <w:t xml:space="preserve">Project Ref:</w:t>
      </w:r>
      <w:r>
        <w:t xml:space="preserve"> </w:t>
      </w:r>
      <w:r>
        <w:t xml:space="preserve">Q2-2025-Financial-Review</w:t>
      </w:r>
    </w:p>
    <w:p>
      <w:pPr>
        <w:pStyle w:val="BodyText"/>
      </w:pPr>
      <w:r>
        <w:rPr>
          <w:bCs/>
          <w:b/>
        </w:rPr>
        <w:t xml:space="preserve">Location:</w:t>
      </w:r>
      <w:r>
        <w:t xml:space="preserve"> </w:t>
      </w:r>
      <w:r>
        <w:t xml:space="preserve">Egypt Cairo – Office Visit &amp; Remote</w:t>
      </w:r>
    </w:p>
    <w:p>
      <w:pPr>
        <w:pStyle w:val="BodyText"/>
      </w:pPr>
      <w:r>
        <w:rPr>
          <w:bCs/>
          <w:b/>
        </w:rPr>
        <w:t xml:space="preserve">Period:</w:t>
      </w:r>
      <w:r>
        <w:t xml:space="preserve"> </w:t>
      </w:r>
      <w:r>
        <w:t xml:space="preserve">1 May 2025 – 31 May 2025</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Financial Analyst Services</w:t>
            </w:r>
          </w:p>
        </w:tc>
        <w:tc>
          <w:tcPr/>
          <w:p>
            <w:pPr>
              <w:pStyle w:val="Compact"/>
              <w:jc w:val="left"/>
            </w:pPr>
            <w:r>
              <w:t xml:space="preserve">Hours</w:t>
            </w:r>
          </w:p>
        </w:tc>
        <w:tc>
          <w:tcPr/>
          <w:p>
            <w:pPr>
              <w:pStyle w:val="Compact"/>
              <w:jc w:val="left"/>
            </w:pPr>
            <w:r>
              <w:t xml:space="preserve">Rate (EGP)</w:t>
            </w:r>
          </w:p>
        </w:tc>
        <w:tc>
          <w:tcPr/>
          <w:p>
            <w:pPr>
              <w:pStyle w:val="Compact"/>
              <w:jc w:val="left"/>
            </w:pPr>
            <w:r>
              <w:t xml:space="preserve">Amount (EGP)</w:t>
            </w:r>
          </w:p>
        </w:tc>
      </w:tr>
      <w:tr>
        <w:tc>
          <w:tcPr/>
          <w:p>
            <w:pPr>
              <w:pStyle w:val="Compact"/>
              <w:jc w:val="left"/>
            </w:pPr>
            <w:r>
              <w:t xml:space="preserve">1</w:t>
            </w:r>
          </w:p>
        </w:tc>
        <w:tc>
          <w:tcPr/>
          <w:p>
            <w:pPr>
              <w:pStyle w:val="Compact"/>
              <w:jc w:val="left"/>
            </w:pPr>
            <w:r>
              <w:t xml:space="preserve">Comprehensive quarterly financial analysis and variance reporting for Al-Ahram Industrial Holdings. The Financial Analyst conducted a full review of income statements, balance sheets, and cash flow projections across all operating divisions in Egypt Cairo.</w:t>
            </w:r>
          </w:p>
        </w:tc>
        <w:tc>
          <w:tcPr/>
          <w:p>
            <w:pPr>
              <w:pStyle w:val="Compact"/>
              <w:jc w:val="left"/>
            </w:pPr>
            <w:r>
              <w:t xml:space="preserve">40</w:t>
            </w:r>
          </w:p>
        </w:tc>
        <w:tc>
          <w:tcPr/>
          <w:p>
            <w:pPr>
              <w:pStyle w:val="Compact"/>
              <w:jc w:val="left"/>
            </w:pPr>
            <w:r>
              <w:t xml:space="preserve">1,200.00</w:t>
            </w:r>
          </w:p>
        </w:tc>
        <w:tc>
          <w:tcPr/>
          <w:p>
            <w:pPr>
              <w:pStyle w:val="Compact"/>
              <w:jc w:val="left"/>
            </w:pPr>
            <w:r>
              <w:t xml:space="preserve">48,000.00</w:t>
            </w:r>
          </w:p>
        </w:tc>
      </w:tr>
      <w:tr>
        <w:tc>
          <w:tcPr/>
          <w:p>
            <w:pPr>
              <w:pStyle w:val="Compact"/>
              <w:jc w:val="left"/>
            </w:pPr>
            <w:r>
              <w:t xml:space="preserve">2</w:t>
            </w:r>
          </w:p>
        </w:tc>
        <w:tc>
          <w:tcPr/>
          <w:p>
            <w:pPr>
              <w:pStyle w:val="Compact"/>
              <w:jc w:val="left"/>
            </w:pPr>
            <w:r>
              <w:t xml:space="preserve">Preparation of detailed budget forecasting models and scenario analysis. The Financial Analyst developed three distinct scenarios (conservative, moderate, optimistic) incorporating Egyptian market conditions, currency fluctuation risk, and sector-specific growth projections for the fiscal year 2025–2026.</w:t>
            </w:r>
          </w:p>
        </w:tc>
        <w:tc>
          <w:tcPr/>
          <w:p>
            <w:pPr>
              <w:pStyle w:val="Compact"/>
              <w:jc w:val="left"/>
            </w:pPr>
            <w:r>
              <w:t xml:space="preserve">32</w:t>
            </w:r>
          </w:p>
        </w:tc>
        <w:tc>
          <w:tcPr/>
          <w:p>
            <w:pPr>
              <w:pStyle w:val="Compact"/>
              <w:jc w:val="left"/>
            </w:pPr>
            <w:r>
              <w:t xml:space="preserve">1,200.00</w:t>
            </w:r>
          </w:p>
        </w:tc>
        <w:tc>
          <w:tcPr/>
          <w:p>
            <w:pPr>
              <w:pStyle w:val="Compact"/>
              <w:jc w:val="left"/>
            </w:pPr>
            <w:r>
              <w:t xml:space="preserve">38,400.00</w:t>
            </w:r>
          </w:p>
        </w:tc>
      </w:tr>
      <w:tr>
        <w:tc>
          <w:tcPr/>
          <w:p>
            <w:pPr>
              <w:pStyle w:val="Compact"/>
              <w:jc w:val="left"/>
            </w:pPr>
            <w:r>
              <w:t xml:space="preserve">3</w:t>
            </w:r>
          </w:p>
        </w:tc>
        <w:tc>
          <w:tcPr/>
          <w:p>
            <w:pPr>
              <w:pStyle w:val="Compact"/>
              <w:jc w:val="left"/>
            </w:pPr>
            <w:r>
              <w:t xml:space="preserve">On-site consultation and presentation of financial findings to the executive board at the client's headquarters in Egypt Cairo. The Financial Analyst delivered a 90-minute strategic briefing covering key performance indicators, risk exposure assessment, and recommended capital allocation strategies.</w:t>
            </w:r>
          </w:p>
        </w:tc>
        <w:tc>
          <w:tcPr/>
          <w:p>
            <w:pPr>
              <w:pStyle w:val="Compact"/>
              <w:jc w:val="left"/>
            </w:pPr>
            <w:r>
              <w:t xml:space="preserve">8</w:t>
            </w:r>
          </w:p>
        </w:tc>
        <w:tc>
          <w:tcPr/>
          <w:p>
            <w:pPr>
              <w:pStyle w:val="Compact"/>
              <w:jc w:val="left"/>
            </w:pPr>
            <w:r>
              <w:t xml:space="preserve">1,500.00</w:t>
            </w:r>
          </w:p>
        </w:tc>
        <w:tc>
          <w:tcPr/>
          <w:p>
            <w:pPr>
              <w:pStyle w:val="Compact"/>
              <w:jc w:val="left"/>
            </w:pPr>
            <w:r>
              <w:t xml:space="preserve">12,000.00</w:t>
            </w:r>
          </w:p>
        </w:tc>
      </w:tr>
      <w:tr>
        <w:tc>
          <w:tcPr/>
          <w:p>
            <w:pPr>
              <w:pStyle w:val="Compact"/>
              <w:jc w:val="left"/>
            </w:pPr>
            <w:r>
              <w:t xml:space="preserve">4</w:t>
            </w:r>
          </w:p>
        </w:tc>
        <w:tc>
          <w:tcPr/>
          <w:p>
            <w:pPr>
              <w:pStyle w:val="Compact"/>
              <w:jc w:val="left"/>
            </w:pPr>
            <w:r>
              <w:t xml:space="preserve">Development of a 12-month rolling cash flow forecast and liquidity risk assessment. The Financial Analyst integrated data from all subsidiary entities operating within Egypt Cairo and prepared a consolidated treasury management report for the finance department.</w:t>
            </w:r>
          </w:p>
        </w:tc>
        <w:tc>
          <w:tcPr/>
          <w:p>
            <w:pPr>
              <w:pStyle w:val="Compact"/>
              <w:jc w:val="left"/>
            </w:pPr>
            <w:r>
              <w:t xml:space="preserve">24</w:t>
            </w:r>
          </w:p>
        </w:tc>
        <w:tc>
          <w:tcPr/>
          <w:p>
            <w:pPr>
              <w:pStyle w:val="Compact"/>
              <w:jc w:val="left"/>
            </w:pPr>
            <w:r>
              <w:t xml:space="preserve">1,200.00</w:t>
            </w:r>
          </w:p>
        </w:tc>
        <w:tc>
          <w:tcPr/>
          <w:p>
            <w:pPr>
              <w:pStyle w:val="Compact"/>
              <w:jc w:val="left"/>
            </w:pPr>
            <w:r>
              <w:t xml:space="preserve">28,800.00</w:t>
            </w:r>
          </w:p>
        </w:tc>
      </w:tr>
      <w:tr>
        <w:tc>
          <w:tcPr/>
          <w:p>
            <w:pPr>
              <w:pStyle w:val="Compact"/>
              <w:jc w:val="left"/>
            </w:pPr>
            <w:r>
              <w:t xml:space="preserve">5</w:t>
            </w:r>
          </w:p>
        </w:tc>
        <w:tc>
          <w:tcPr/>
          <w:p>
            <w:pPr>
              <w:pStyle w:val="Compact"/>
              <w:jc w:val="left"/>
            </w:pPr>
            <w:r>
              <w:t xml:space="preserve">Regulatory compliance review and tax optimization advisory. The Financial Analyst evaluated the client's current tax positioning under Egyptian fiscal law, identified deductible expense categories, and prepared a compliance memorandum aligned with the Egyptian Financial Regulatory Authority (FRA) guidelines.</w:t>
            </w:r>
          </w:p>
        </w:tc>
        <w:tc>
          <w:tcPr/>
          <w:p>
            <w:pPr>
              <w:pStyle w:val="Compact"/>
              <w:jc w:val="left"/>
            </w:pPr>
            <w:r>
              <w:t xml:space="preserve">16</w:t>
            </w:r>
          </w:p>
        </w:tc>
        <w:tc>
          <w:tcPr/>
          <w:p>
            <w:pPr>
              <w:pStyle w:val="Compact"/>
              <w:jc w:val="left"/>
            </w:pPr>
            <w:r>
              <w:t xml:space="preserve">1,350.00</w:t>
            </w:r>
          </w:p>
        </w:tc>
        <w:tc>
          <w:tcPr/>
          <w:p>
            <w:pPr>
              <w:pStyle w:val="Compact"/>
              <w:jc w:val="left"/>
            </w:pPr>
            <w:r>
              <w:t xml:space="preserve">21,600.00</w:t>
            </w:r>
          </w:p>
        </w:tc>
      </w:tr>
      <w:tr>
        <w:tc>
          <w:tcPr/>
          <w:p>
            <w:pPr>
              <w:pStyle w:val="Compact"/>
              <w:jc w:val="left"/>
            </w:pPr>
            <w:r>
              <w:t xml:space="preserve">6</w:t>
            </w:r>
          </w:p>
        </w:tc>
        <w:tc>
          <w:tcPr/>
          <w:p>
            <w:pPr>
              <w:pStyle w:val="Compact"/>
              <w:jc w:val="left"/>
            </w:pPr>
            <w:r>
              <w:t xml:space="preserve">Preparation of the final consolidated Financial Analyst report, including executive summary, detailed appendices, data visualizations, and actionable strategic recommendations. This Invoice covers the full scope of deliverables agreed upon in the master service contract dated 10 April 2025.</w:t>
            </w:r>
          </w:p>
        </w:tc>
        <w:tc>
          <w:tcPr/>
          <w:p>
            <w:pPr>
              <w:pStyle w:val="Compact"/>
              <w:jc w:val="left"/>
            </w:pPr>
            <w:r>
              <w:t xml:space="preserve">12</w:t>
            </w:r>
          </w:p>
        </w:tc>
        <w:tc>
          <w:tcPr/>
          <w:p>
            <w:pPr>
              <w:pStyle w:val="Compact"/>
              <w:jc w:val="left"/>
            </w:pPr>
            <w:r>
              <w:t xml:space="preserve">1,200.00</w:t>
            </w:r>
          </w:p>
        </w:tc>
        <w:tc>
          <w:tcPr/>
          <w:p>
            <w:pPr>
              <w:pStyle w:val="Compact"/>
              <w:jc w:val="left"/>
            </w:pPr>
            <w:r>
              <w:t xml:space="preserve">14,400.00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163,200.00 EGP</w:t>
            </w:r>
          </w:p>
        </w:tc>
      </w:tr>
      <w:tr>
        <w:tc>
          <w:tcPr/>
          <w:p>
            <w:pPr>
              <w:pStyle w:val="Compact"/>
              <w:jc w:val="left"/>
            </w:pPr>
            <w:r>
              <w:t xml:space="preserve">VAT (14% – Egyptian Value Added Tax)</w:t>
            </w:r>
          </w:p>
        </w:tc>
        <w:tc>
          <w:tcPr/>
          <w:p>
            <w:pPr>
              <w:pStyle w:val="Compact"/>
              <w:jc w:val="left"/>
            </w:pPr>
            <w:r>
              <w:t xml:space="preserve">22,848.00 EGP</w:t>
            </w:r>
          </w:p>
        </w:tc>
      </w:tr>
      <w:tr>
        <w:tc>
          <w:tcPr/>
          <w:p>
            <w:pPr>
              <w:pStyle w:val="Compact"/>
              <w:jc w:val="left"/>
            </w:pPr>
            <w:r>
              <w:t xml:space="preserve">Service Fee (2% – Egyptian Financial Regulatory Authority)</w:t>
            </w:r>
          </w:p>
        </w:tc>
        <w:tc>
          <w:tcPr/>
          <w:p>
            <w:pPr>
              <w:pStyle w:val="Compact"/>
              <w:jc w:val="left"/>
            </w:pPr>
            <w:r>
              <w:t xml:space="preserve">3,264.00 EGP</w:t>
            </w:r>
          </w:p>
        </w:tc>
      </w:tr>
      <w:tr>
        <w:tc>
          <w:tcPr/>
          <w:p>
            <w:pPr>
              <w:pStyle w:val="Compact"/>
              <w:jc w:val="left"/>
            </w:pPr>
            <w:r>
              <w:t xml:space="preserve">Grand Total Due</w:t>
            </w:r>
          </w:p>
        </w:tc>
        <w:tc>
          <w:tcPr/>
          <w:p>
            <w:pPr>
              <w:pStyle w:val="Compact"/>
              <w:jc w:val="left"/>
            </w:pPr>
            <w:r>
              <w:t xml:space="preserve">189,312.00 EGP</w:t>
            </w:r>
          </w:p>
        </w:tc>
      </w:tr>
    </w:tbl>
    <w:bookmarkStart w:id="24" w:name="invoice-notes-payment-instructions"/>
    <w:p>
      <w:pPr>
        <w:pStyle w:val="Heading3"/>
      </w:pPr>
      <w:r>
        <w:t xml:space="preserve">Invoice Notes &amp; Payment Instructions</w:t>
      </w:r>
    </w:p>
    <w:p>
      <w:pPr>
        <w:pStyle w:val="FirstParagraph"/>
      </w:pPr>
      <w:r>
        <w:rPr>
          <w:bCs/>
          <w:b/>
        </w:rPr>
        <w:t xml:space="preserve">Payment Method:</w:t>
      </w:r>
      <w:r>
        <w:t xml:space="preserve"> </w:t>
      </w:r>
      <w:r>
        <w:t xml:space="preserve">Bank Transfer to Nile Capital Advisory Group, Commercial International Bank (CIB), Cairo Main Branch, Egypt. Account Name: Nile Capital Advisory Group S.A.E. IBAN: EG38 CIBL 0001 0102 3456 7890 1234. SWIFT: CIBLEGCA.</w:t>
      </w:r>
    </w:p>
    <w:p>
      <w:pPr>
        <w:pStyle w:val="BodyText"/>
      </w:pPr>
      <w:r>
        <w:rPr>
          <w:bCs/>
          <w:b/>
        </w:rPr>
        <w:t xml:space="preserve">Payment Terms:</w:t>
      </w:r>
      <w:r>
        <w:t xml:space="preserve"> </w:t>
      </w:r>
      <w:r>
        <w:t xml:space="preserve">This Invoice is payable within 15 calendar days from the date of issue. Late payments shall accrue interest at a rate of 1.5% per month in accordance with Egyptian commercial law.</w:t>
      </w:r>
    </w:p>
    <w:p>
      <w:pPr>
        <w:pStyle w:val="BodyText"/>
      </w:pPr>
      <w:r>
        <w:rPr>
          <w:bCs/>
          <w:b/>
        </w:rPr>
        <w:t xml:space="preserve">Reference:</w:t>
      </w:r>
      <w:r>
        <w:t xml:space="preserve"> </w:t>
      </w:r>
      <w:r>
        <w:t xml:space="preserve">Please quote Invoice No. NCA-2025-04871 on all correspondence and remittance advices. This Invoice is valid for 30 days from the issue date.</w:t>
      </w:r>
    </w:p>
    <w:p>
      <w:pPr>
        <w:pStyle w:val="BodyText"/>
      </w:pPr>
      <w:r>
        <w:rPr>
          <w:bCs/>
          <w:b/>
        </w:rPr>
        <w:t xml:space="preserve">Important:</w:t>
      </w:r>
      <w:r>
        <w:t xml:space="preserve"> </w:t>
      </w:r>
      <w:r>
        <w:t xml:space="preserve">All Financial Analyst deliverables referenced in this Invoice have been completed and accepted by the client's finance department as of 10 June 2025. No further adjustments to scope or billing are anticipated for this engagement period.</w:t>
      </w:r>
    </w:p>
    <w:bookmarkEnd w:id="24"/>
    <w:bookmarkStart w:id="25" w:name="terms-and-conditions"/>
    <w:p>
      <w:pPr>
        <w:pStyle w:val="Heading3"/>
      </w:pPr>
      <w:r>
        <w:t xml:space="preserve">Terms and Conditions</w:t>
      </w:r>
    </w:p>
    <w:p>
      <w:pPr>
        <w:pStyle w:val="FirstParagraph"/>
      </w:pPr>
      <w:r>
        <w:t xml:space="preserve">1. This Invoice constitutes a formal request for payment for professional Financial Analyst services rendered by Nile Capital Advisory Group to Al-Ahram Industrial Holdings S.A.E. in Egypt Cairo during the period specified above.</w:t>
      </w:r>
    </w:p>
    <w:p>
      <w:pPr>
        <w:pStyle w:val="BodyText"/>
      </w:pPr>
      <w:r>
        <w:t xml:space="preserve">2. All services were performed in compliance with the Egyptian Companies Law No. 159 of 1981 (as amended) and the applicable regulations of the Egyptian Financial Regulatory Authority (FRA).</w:t>
      </w:r>
    </w:p>
    <w:p>
      <w:pPr>
        <w:pStyle w:val="BodyText"/>
      </w:pPr>
      <w:r>
        <w:t xml:space="preserve">3. The Financial Analyst engagement was governed by the Master Service Agreement (MSA) dated 10 April 2025, a copy of which is available upon request. Any disputes arising from this Invoice shall be resolved through arbitration in Cairo, Egypt, in accordance with the rules of the Egyptian Arbitration Center.</w:t>
      </w:r>
    </w:p>
    <w:p>
      <w:pPr>
        <w:pStyle w:val="BodyText"/>
      </w:pPr>
      <w:r>
        <w:t xml:space="preserve">4. All intellectual property rights in the reports, models, and analyses produced by the Financial Analyst shall transfer to the client upon full and final payment of this Invoice.</w:t>
      </w:r>
    </w:p>
    <w:p>
      <w:pPr>
        <w:pStyle w:val="BodyText"/>
      </w:pPr>
      <w:r>
        <w:t xml:space="preserve">5. This Invoice is subject to the 14% Value Added Tax (VAT) as mandated by the Egyptian Tax Authority under Law No. 67 of 2016. A VAT receipt will be issued upon confirmation of payment.</w:t>
      </w:r>
    </w:p>
    <w:p>
      <w:pPr>
        <w:pStyle w:val="BodyText"/>
      </w:pPr>
      <w:r>
        <w:t xml:space="preserve">6. Nile Capital Advisory Group reserves the right to suspend ongoing services if payment is not received within the stipulated 15-day period. This Invoice does not constitute a waiver of any rights or remedies available to the service provider under Egyptian law.</w:t>
      </w:r>
    </w:p>
    <w:bookmarkEnd w:id="25"/>
    <w:p>
      <w:pPr>
        <w:pStyle w:val="BodyText"/>
      </w:pPr>
      <w:r>
        <w:rPr>
          <w:bCs/>
          <w:b/>
        </w:rPr>
        <w:t xml:space="preserve">Nile Capital Advisory Group S.A.E.</w:t>
      </w:r>
      <w:r>
        <w:t xml:space="preserve"> </w:t>
      </w:r>
      <w:r>
        <w:t xml:space="preserve">| Financial Analyst &amp; Advisory Services | Egypt Cairo</w:t>
      </w:r>
    </w:p>
    <w:p>
      <w:pPr>
        <w:pStyle w:val="BodyText"/>
      </w:pPr>
      <w:r>
        <w:t xml:space="preserve">Registered with the Egyptian Financial Regulatory Authority (FRA) – License No. FRA-2019-00452</w:t>
      </w:r>
    </w:p>
    <w:p>
      <w:pPr>
        <w:pStyle w:val="BodyText"/>
      </w:pPr>
      <w:r>
        <w:t xml:space="preserve">This Invoice was generated electronically and is valid without a physical signature in accordance with Egyptian Electronic Transactions Law No. 15 of 2004.</w:t>
      </w:r>
    </w:p>
    <w:p>
      <w:pPr>
        <w:pStyle w:val="BodyText"/>
      </w:pPr>
      <w:r>
        <w:t xml:space="preserve">For queries regarding this Invoice, please contact: billing@nilecapital-eg.com | +20 2 2534 7890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Financial Analyst Services - Egypt Cairo</dc:title>
  <dc:creator/>
  <dc:language>en</dc:language>
  <cp:keywords/>
  <dcterms:created xsi:type="dcterms:W3CDTF">2026-10-10T08:33:51Z</dcterms:created>
  <dcterms:modified xsi:type="dcterms:W3CDTF">2026-10-10T08:33:51Z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