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profinance-consulting-sarl"/>
    <w:p>
      <w:pPr>
        <w:pStyle w:val="Heading1"/>
      </w:pPr>
      <w:r>
        <w:t xml:space="preserve">ProFinance Consulting SARL</w:t>
      </w:r>
    </w:p>
    <w:p>
      <w:pPr>
        <w:pStyle w:val="FirstParagraph"/>
      </w:pPr>
      <w:r>
        <w:t xml:space="preserve">12 Boulevard Longchamp, 13001 Marseille, France</w:t>
      </w:r>
    </w:p>
    <w:p>
      <w:pPr>
        <w:pStyle w:val="BodyText"/>
      </w:pPr>
      <w:r>
        <w:t xml:space="preserve">Tel: +33 4 91 23 45 67</w:t>
      </w:r>
    </w:p>
    <w:p>
      <w:pPr>
        <w:pStyle w:val="BodyText"/>
      </w:pPr>
      <w:r>
        <w:t xml:space="preserve">Email: billing@profinance-marseille.fr</w:t>
      </w:r>
    </w:p>
    <w:p>
      <w:pPr>
        <w:pStyle w:val="BodyText"/>
      </w:pPr>
      <w:r>
        <w:t xml:space="preserve">SIRET: 842 567 891 00023</w:t>
      </w:r>
    </w:p>
    <w:p>
      <w:pPr>
        <w:pStyle w:val="BodyText"/>
      </w:pPr>
      <w:r>
        <w:t xml:space="preserve">TVA Intracommunautaire: FR 45 842567891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Méditerranée Holdings SA</w:t>
      </w:r>
    </w:p>
    <w:p>
      <w:pPr>
        <w:pStyle w:val="BodyText"/>
      </w:pPr>
      <w:r>
        <w:rPr>
          <w:bCs/>
          <w:b/>
        </w:rPr>
        <w:t xml:space="preserve">Attn:</w:t>
      </w:r>
      <w:r>
        <w:t xml:space="preserve"> </w:t>
      </w:r>
      <w:r>
        <w:t xml:space="preserve">Mr. Laurent Dubois, Chief Financial Officer</w:t>
      </w:r>
    </w:p>
    <w:p>
      <w:pPr>
        <w:pStyle w:val="BodyText"/>
      </w:pPr>
      <w:r>
        <w:rPr>
          <w:bCs/>
          <w:b/>
        </w:rPr>
        <w:t xml:space="preserve">Address:</w:t>
      </w:r>
      <w:r>
        <w:t xml:space="preserve"> </w:t>
      </w:r>
      <w:r>
        <w:t xml:space="preserve">45 Rue de la République, 13002 Marseille, France</w:t>
      </w:r>
    </w:p>
    <w:p>
      <w:pPr>
        <w:pStyle w:val="BodyText"/>
      </w:pPr>
      <w:r>
        <w:rPr>
          <w:bCs/>
          <w:b/>
        </w:rPr>
        <w:t xml:space="preserve">SIRET:</w:t>
      </w:r>
      <w:r>
        <w:t xml:space="preserve"> </w:t>
      </w:r>
      <w:r>
        <w:t xml:space="preserve">719 345 678 00012</w:t>
      </w:r>
    </w:p>
    <w:p>
      <w:pPr>
        <w:pStyle w:val="BodyText"/>
      </w:pPr>
      <w:r>
        <w:rPr>
          <w:bCs/>
          <w:b/>
        </w:rPr>
        <w:t xml:space="preserve">Email:</w:t>
      </w:r>
      <w:r>
        <w:t xml:space="preserve"> </w:t>
      </w:r>
      <w:r>
        <w:t xml:space="preserve">l.dubois@mediterranee-holdings.fr</w:t>
      </w:r>
    </w:p>
    <w:bookmarkEnd w:id="22"/>
    <w:bookmarkStart w:id="23" w:name="service-provider"/>
    <w:p>
      <w:pPr>
        <w:pStyle w:val="Heading3"/>
      </w:pPr>
      <w:r>
        <w:t xml:space="preserve">Service Provider</w:t>
      </w:r>
    </w:p>
    <w:p>
      <w:pPr>
        <w:pStyle w:val="FirstParagraph"/>
      </w:pPr>
      <w:r>
        <w:rPr>
          <w:bCs/>
          <w:b/>
        </w:rPr>
        <w:t xml:space="preserve">Role:</w:t>
      </w:r>
      <w:r>
        <w:t xml:space="preserve"> </w:t>
      </w:r>
      <w:r>
        <w:t xml:space="preserve">Senior Financial Analyst</w:t>
      </w:r>
    </w:p>
    <w:p>
      <w:pPr>
        <w:pStyle w:val="BodyText"/>
      </w:pPr>
      <w:r>
        <w:rPr>
          <w:bCs/>
          <w:b/>
        </w:rPr>
        <w:t xml:space="preserve">Name:</w:t>
      </w:r>
      <w:r>
        <w:t xml:space="preserve"> </w:t>
      </w:r>
      <w:r>
        <w:t xml:space="preserve">Dr. Sophie Marchand</w:t>
      </w:r>
    </w:p>
    <w:p>
      <w:pPr>
        <w:pStyle w:val="BodyText"/>
      </w:pPr>
      <w:r>
        <w:rPr>
          <w:bCs/>
          <w:b/>
        </w:rPr>
        <w:t xml:space="preserve">Certification:</w:t>
      </w:r>
      <w:r>
        <w:t xml:space="preserve"> </w:t>
      </w:r>
      <w:r>
        <w:t xml:space="preserve">CFA Charterholder, AMF Registered</w:t>
      </w:r>
    </w:p>
    <w:p>
      <w:pPr>
        <w:pStyle w:val="BodyText"/>
      </w:pPr>
      <w:r>
        <w:rPr>
          <w:bCs/>
          <w:b/>
        </w:rPr>
        <w:t xml:space="preserve">Base Location:</w:t>
      </w:r>
      <w:r>
        <w:t xml:space="preserve"> </w:t>
      </w:r>
      <w:r>
        <w:t xml:space="preserve">Marseille, France</w:t>
      </w:r>
    </w:p>
    <w:p>
      <w:pPr>
        <w:pStyle w:val="BodyText"/>
      </w:pPr>
      <w:r>
        <w:rPr>
          <w:bCs/>
          <w:b/>
        </w:rPr>
        <w:t xml:space="preserve">Contract Ref:</w:t>
      </w:r>
      <w:r>
        <w:t xml:space="preserve"> </w:t>
      </w:r>
      <w:r>
        <w:t xml:space="preserve">CFA-2025-MRS-019</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Financial Analyst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financial statement analysis and quarterly performance reporting for Méditerranée Holdings SA, prepared in accordance with IFRS standards applicable in France Marseille corporate governance frameworks.</w:t>
            </w:r>
          </w:p>
        </w:tc>
        <w:tc>
          <w:tcPr/>
          <w:p>
            <w:pPr>
              <w:pStyle w:val="Compact"/>
              <w:jc w:val="left"/>
            </w:pPr>
            <w:r>
              <w:t xml:space="preserve">40 hours</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Development of cash flow forecasting models and liquidity risk assessment for the Marseille regional operations division, including sensitivity analysis across three economic scenarios.</w:t>
            </w:r>
          </w:p>
        </w:tc>
        <w:tc>
          <w:tcPr/>
          <w:p>
            <w:pPr>
              <w:pStyle w:val="Compact"/>
              <w:jc w:val="left"/>
            </w:pPr>
            <w:r>
              <w:t xml:space="preserve">32 hours</w:t>
            </w:r>
          </w:p>
        </w:tc>
        <w:tc>
          <w:tcPr/>
          <w:p>
            <w:pPr>
              <w:pStyle w:val="Compact"/>
              <w:jc w:val="left"/>
            </w:pPr>
            <w:r>
              <w:t xml:space="preserve">€120.00</w:t>
            </w:r>
          </w:p>
        </w:tc>
        <w:tc>
          <w:tcPr/>
          <w:p>
            <w:pPr>
              <w:pStyle w:val="Compact"/>
              <w:jc w:val="left"/>
            </w:pPr>
            <w:r>
              <w:t xml:space="preserve">€3,840.00</w:t>
            </w:r>
          </w:p>
        </w:tc>
      </w:tr>
      <w:tr>
        <w:tc>
          <w:tcPr/>
          <w:p>
            <w:pPr>
              <w:pStyle w:val="Compact"/>
              <w:jc w:val="left"/>
            </w:pPr>
            <w:r>
              <w:t xml:space="preserve">3</w:t>
            </w:r>
          </w:p>
        </w:tc>
        <w:tc>
          <w:tcPr/>
          <w:p>
            <w:pPr>
              <w:pStyle w:val="Compact"/>
              <w:jc w:val="left"/>
            </w:pPr>
            <w:r>
              <w:t xml:space="preserve">Valuation analysis and due diligence support for the proposed acquisition of a port logistics asset in the France Marseille metropolitan area, including discounted cash flow modeling and comparable company analysis.</w:t>
            </w:r>
          </w:p>
        </w:tc>
        <w:tc>
          <w:tcPr/>
          <w:p>
            <w:pPr>
              <w:pStyle w:val="Compact"/>
              <w:jc w:val="left"/>
            </w:pPr>
            <w:r>
              <w:t xml:space="preserve">28 hours</w:t>
            </w:r>
          </w:p>
        </w:tc>
        <w:tc>
          <w:tcPr/>
          <w:p>
            <w:pPr>
              <w:pStyle w:val="Compact"/>
              <w:jc w:val="left"/>
            </w:pPr>
            <w:r>
              <w:t xml:space="preserve">€135.00</w:t>
            </w:r>
          </w:p>
        </w:tc>
        <w:tc>
          <w:tcPr/>
          <w:p>
            <w:pPr>
              <w:pStyle w:val="Compact"/>
              <w:jc w:val="left"/>
            </w:pPr>
            <w:r>
              <w:t xml:space="preserve">€3,780.00</w:t>
            </w:r>
          </w:p>
        </w:tc>
      </w:tr>
      <w:tr>
        <w:tc>
          <w:tcPr/>
          <w:p>
            <w:pPr>
              <w:pStyle w:val="Compact"/>
              <w:jc w:val="left"/>
            </w:pPr>
            <w:r>
              <w:t xml:space="preserve">4</w:t>
            </w:r>
          </w:p>
        </w:tc>
        <w:tc>
          <w:tcPr/>
          <w:p>
            <w:pPr>
              <w:pStyle w:val="Compact"/>
              <w:jc w:val="left"/>
            </w:pPr>
            <w:r>
              <w:t xml:space="preserve">Preparation of board-level financial presentations and investor relations materials, incorporating regulatory compliance review under French AMF (Autorité des Marchés Financiers) guidelines specific to entities registered in France Marseille.</w:t>
            </w:r>
          </w:p>
        </w:tc>
        <w:tc>
          <w:tcPr/>
          <w:p>
            <w:pPr>
              <w:pStyle w:val="Compact"/>
              <w:jc w:val="left"/>
            </w:pPr>
            <w:r>
              <w:t xml:space="preserve">16 hours</w:t>
            </w:r>
          </w:p>
        </w:tc>
        <w:tc>
          <w:tcPr/>
          <w:p>
            <w:pPr>
              <w:pStyle w:val="Compact"/>
              <w:jc w:val="left"/>
            </w:pPr>
            <w:r>
              <w:t xml:space="preserve">€135.00</w:t>
            </w:r>
          </w:p>
        </w:tc>
        <w:tc>
          <w:tcPr/>
          <w:p>
            <w:pPr>
              <w:pStyle w:val="Compact"/>
              <w:jc w:val="left"/>
            </w:pPr>
            <w:r>
              <w:t xml:space="preserve">€2,160.00</w:t>
            </w:r>
          </w:p>
        </w:tc>
      </w:tr>
      <w:tr>
        <w:tc>
          <w:tcPr/>
          <w:p>
            <w:pPr>
              <w:pStyle w:val="Compact"/>
              <w:jc w:val="left"/>
            </w:pPr>
            <w:r>
              <w:t xml:space="preserve">5</w:t>
            </w:r>
          </w:p>
        </w:tc>
        <w:tc>
          <w:tcPr/>
          <w:p>
            <w:pPr>
              <w:pStyle w:val="Compact"/>
              <w:jc w:val="left"/>
            </w:pPr>
            <w:r>
              <w:t xml:space="preserve">Monthly budget variance analysis and cost optimization recommendations for the France Marseille headquarters, including identification of operational inefficiencies and implementation of corrective financial controls.</w:t>
            </w:r>
          </w:p>
        </w:tc>
        <w:tc>
          <w:tcPr/>
          <w:p>
            <w:pPr>
              <w:pStyle w:val="Compact"/>
              <w:jc w:val="left"/>
            </w:pPr>
            <w:r>
              <w:t xml:space="preserve">20 hours</w:t>
            </w:r>
          </w:p>
        </w:tc>
        <w:tc>
          <w:tcPr/>
          <w:p>
            <w:pPr>
              <w:pStyle w:val="Compact"/>
              <w:jc w:val="left"/>
            </w:pPr>
            <w:r>
              <w:t xml:space="preserve">€110.00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Ad-hoc financial advisory consultation and on-site meetings at the client's Marseille office, including preparation of supplementary analytical memos and risk assessment reports for the France Marseille market segment.</w:t>
            </w:r>
          </w:p>
        </w:tc>
        <w:tc>
          <w:tcPr/>
          <w:p>
            <w:pPr>
              <w:pStyle w:val="Compact"/>
              <w:jc w:val="left"/>
            </w:pPr>
            <w:r>
              <w:t xml:space="preserve">12 hours</w:t>
            </w:r>
          </w:p>
        </w:tc>
        <w:tc>
          <w:tcPr/>
          <w:p>
            <w:pPr>
              <w:pStyle w:val="Compact"/>
              <w:jc w:val="left"/>
            </w:pPr>
            <w:r>
              <w:t xml:space="preserve">€120.00</w:t>
            </w:r>
          </w:p>
        </w:tc>
        <w:tc>
          <w:tcPr/>
          <w:p>
            <w:pPr>
              <w:pStyle w:val="Compact"/>
              <w:jc w:val="left"/>
            </w:pPr>
            <w:r>
              <w:t xml:space="preserve">€1,440.00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€18,220.00</w:t>
            </w:r>
          </w:p>
        </w:tc>
      </w:tr>
      <w:tr>
        <w:tc>
          <w:tcPr/>
          <w:p>
            <w:pPr>
              <w:pStyle w:val="Compact"/>
              <w:jc w:val="left"/>
            </w:pPr>
            <w:r>
              <w:t xml:space="preserve">VAT (TVA) – 20% (France)</w:t>
            </w:r>
          </w:p>
        </w:tc>
        <w:tc>
          <w:tcPr/>
          <w:p>
            <w:pPr>
              <w:pStyle w:val="Compact"/>
              <w:jc w:val="right"/>
            </w:pPr>
            <w:r>
              <w:t xml:space="preserve">€3,644.00</w:t>
            </w:r>
          </w:p>
        </w:tc>
      </w:tr>
      <w:tr>
        <w:tc>
          <w:tcPr/>
          <w:p>
            <w:pPr>
              <w:pStyle w:val="Compact"/>
              <w:jc w:val="left"/>
            </w:pPr>
            <w:r>
              <w:t xml:space="preserve">Discount – Early Payment (2%)</w:t>
            </w:r>
          </w:p>
        </w:tc>
        <w:tc>
          <w:tcPr/>
          <w:p>
            <w:pPr>
              <w:pStyle w:val="Compact"/>
              <w:jc w:val="right"/>
            </w:pPr>
            <w:r>
              <w:t xml:space="preserve">-€364.40</w:t>
            </w:r>
          </w:p>
        </w:tc>
      </w:tr>
      <w:tr>
        <w:tc>
          <w:tcPr/>
          <w:p>
            <w:pPr>
              <w:pStyle w:val="Compact"/>
              <w:jc w:val="left"/>
            </w:pPr>
            <w:r>
              <w:t xml:space="preserve">Grand Total Due</w:t>
            </w:r>
          </w:p>
        </w:tc>
        <w:tc>
          <w:tcPr/>
          <w:p>
            <w:pPr>
              <w:pStyle w:val="Compact"/>
              <w:jc w:val="right"/>
            </w:pPr>
            <w:r>
              <w:t xml:space="preserve">€21,499.60</w:t>
            </w:r>
          </w:p>
        </w:tc>
      </w:tr>
    </w:tbl>
    <w:bookmarkStart w:id="24" w:name="payment-terms-invoice-notes"/>
    <w:p>
      <w:pPr>
        <w:pStyle w:val="Heading3"/>
      </w:pPr>
      <w:r>
        <w:t xml:space="preserve">Payment Terms &amp; Invoice Notes</w:t>
      </w:r>
    </w:p>
    <w:p>
      <w:pPr>
        <w:pStyle w:val="FirstParagraph"/>
      </w:pPr>
      <w:r>
        <w:rPr>
          <w:bCs/>
          <w:b/>
        </w:rPr>
        <w:t xml:space="preserve">Payment Method:</w:t>
      </w:r>
      <w:r>
        <w:t xml:space="preserve"> </w:t>
      </w:r>
      <w:r>
        <w:t xml:space="preserve">Bank Transfer (Virement Bancaire) to ProFinance Consulting SARL, BIC: CMCIFR2A, IBAN: FR76 3000 4000 0312 3456 7890 123.</w:t>
      </w:r>
    </w:p>
    <w:p>
      <w:pPr>
        <w:pStyle w:val="BodyText"/>
      </w:pPr>
      <w:r>
        <w:rPr>
          <w:bCs/>
          <w:b/>
        </w:rPr>
        <w:t xml:space="preserve">Payment Deadline:</w:t>
      </w:r>
      <w:r>
        <w:t xml:space="preserve"> </w:t>
      </w:r>
      <w:r>
        <w:t xml:space="preserve">This Invoice must be settled in full within thirty (30) calendar days from the date of issue, in accordance with French commercial law (Code de commerce, Article L441-6). Late payments shall incur statutory interest at the rate prescribed by the Banque de France for the France Marseille jurisdiction.</w:t>
      </w:r>
    </w:p>
    <w:p>
      <w:pPr>
        <w:pStyle w:val="BodyText"/>
      </w:pPr>
      <w:r>
        <w:rPr>
          <w:bCs/>
          <w:b/>
        </w:rPr>
        <w:t xml:space="preserve">Reference:</w:t>
      </w:r>
      <w:r>
        <w:t xml:space="preserve"> </w:t>
      </w:r>
      <w:r>
        <w:t xml:space="preserve">Please quote Invoice number INV-2025-0487 and Contract Reference CFA-2025-MRS-019 on all correspondence and payment remittances.</w:t>
      </w:r>
    </w:p>
    <w:p>
      <w:pPr>
        <w:pStyle w:val="BodyText"/>
      </w:pPr>
      <w:r>
        <w:rPr>
          <w:bCs/>
          <w:b/>
        </w:rPr>
        <w:t xml:space="preserve">Scope Confirmation:</w:t>
      </w:r>
      <w:r>
        <w:t xml:space="preserve"> </w:t>
      </w:r>
      <w:r>
        <w:t xml:space="preserve">All Financial Analyst services rendered under this Invoice were performed in full compliance with the professional standards set by the Compagnie Nationale des Commissaires aux Comptes (CNCC) and the regulatory requirements applicable to financial advisory engagements in France Marseille.</w:t>
      </w:r>
    </w:p>
    <w:p>
      <w:pPr>
        <w:pStyle w:val="BodyText"/>
      </w:pPr>
      <w:r>
        <w:rPr>
          <w:bCs/>
          <w:b/>
        </w:rPr>
        <w:t xml:space="preserve">Dispute Resolution:</w:t>
      </w:r>
      <w:r>
        <w:t xml:space="preserve"> </w:t>
      </w:r>
      <w:r>
        <w:t xml:space="preserve">Any disputes arising from this Invoice shall be subject to the exclusive jurisdiction of the Tribunal de Commerce de Marseille, France. Both parties agree to attempt amicable resolution prior to initiating formal legal proceedings.</w:t>
      </w:r>
    </w:p>
    <w:p>
      <w:pPr>
        <w:pStyle w:val="BodyText"/>
      </w:pPr>
      <w:r>
        <w:rPr>
          <w:bCs/>
          <w:b/>
        </w:rPr>
        <w:t xml:space="preserve">Confidentiality:</w:t>
      </w:r>
      <w:r>
        <w:t xml:space="preserve"> </w:t>
      </w:r>
      <w:r>
        <w:t xml:space="preserve">All financial data, analytical models, and proprietary information exchanged in connection with this Invoice and the underlying Financial Analyst engagement remain subject to the mutual Non-Disclosure Agreement (NDA) executed on 01 March 2025.</w:t>
      </w:r>
    </w:p>
    <w:bookmarkEnd w:id="24"/>
    <w:p>
      <w:pPr>
        <w:pStyle w:val="BodyText"/>
      </w:pPr>
      <w:r>
        <w:rPr>
          <w:bCs/>
          <w:b/>
        </w:rPr>
        <w:t xml:space="preserve">ProFinance Consulting SARL</w:t>
      </w:r>
      <w:r>
        <w:t xml:space="preserve"> </w:t>
      </w:r>
      <w:r>
        <w:t xml:space="preserve">– Registered in the Trade Register of Marseille (RCS Marseille) under number 842 567 891.</w:t>
      </w:r>
    </w:p>
    <w:p>
      <w:pPr>
        <w:pStyle w:val="BodyText"/>
      </w:pPr>
      <w:r>
        <w:t xml:space="preserve">Head Office: 12 Boulevard Longchamp, 13001 Marseille, France | Capital: €50,000</w:t>
      </w:r>
    </w:p>
    <w:p>
      <w:pPr>
        <w:pStyle w:val="BodyText"/>
      </w:pPr>
      <w:r>
        <w:t xml:space="preserve">This Invoice has been generated electronically and constitutes a valid commercial document under French law (Article 1316-1 du Code civil).</w:t>
      </w:r>
    </w:p>
    <w:p>
      <w:pPr>
        <w:pStyle w:val="BodyText"/>
      </w:pPr>
      <w:r>
        <w:t xml:space="preserve">For queries regarding this Invoice, please contact our billing department at billing@profinance-marseille.fr or +33 4 91 23 45 67 (Mon–Fri, 09:00–17:30 CET).</w:t>
      </w:r>
    </w:p>
    <w:p>
      <w:pPr>
        <w:pStyle w:val="BodyText"/>
      </w:pPr>
      <w:r>
        <w:t xml:space="preserve">Thank you for your business. We value our partnership with Méditerranée Holdings SA and look forward to continuing to provide exceptional Financial Analyst services in France Marseille.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France Marseille</dc:title>
  <dc:creator/>
  <dc:language>en</dc:language>
  <cp:keywords/>
  <dcterms:created xsi:type="dcterms:W3CDTF">2026-10-10T09:17:11Z</dcterms:created>
  <dcterms:modified xsi:type="dcterms:W3CDTF">2026-10-10T09:17:11Z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