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meridian-financial-advisory-gmbh"/>
    <w:p>
      <w:pPr>
        <w:pStyle w:val="Heading1"/>
      </w:pPr>
      <w:r>
        <w:t xml:space="preserve">Meridian Financial Advisory GmbH</w:t>
      </w:r>
    </w:p>
    <w:p>
      <w:pPr>
        <w:pStyle w:val="FirstParagraph"/>
      </w:pPr>
      <w:r>
        <w:t xml:space="preserve">Unter den Linden 87, 10117 Berlin, Germany</w:t>
      </w:r>
    </w:p>
    <w:p>
      <w:pPr>
        <w:pStyle w:val="BodyText"/>
      </w:pPr>
      <w:r>
        <w:t xml:space="preserve">USt-IdNr.: DE 312 456 789</w:t>
      </w:r>
    </w:p>
    <w:p>
      <w:pPr>
        <w:pStyle w:val="BodyText"/>
      </w:pPr>
      <w:r>
        <w:t xml:space="preserve">Handelsregister: HRB 123456 B, Amtsgericht Berlin-Charlottenburg</w:t>
      </w:r>
    </w:p>
    <w:p>
      <w:pPr>
        <w:pStyle w:val="BodyText"/>
      </w:pPr>
      <w:r>
        <w:t xml:space="preserve">Phone: +49 (0)30 5556 7890 | Email: billing@meridian-financial.de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Germany Berlin</w:t>
      </w:r>
    </w:p>
    <w:bookmarkEnd w:id="21"/>
    <w:bookmarkStart w:id="22" w:name="billed-to-client"/>
    <w:p>
      <w:pPr>
        <w:pStyle w:val="Heading3"/>
      </w:pPr>
      <w:r>
        <w:t xml:space="preserve">Billed To (Client)</w:t>
      </w:r>
    </w:p>
    <w:p>
      <w:pPr>
        <w:pStyle w:val="FirstParagraph"/>
      </w:pPr>
      <w:r>
        <w:rPr>
          <w:bCs/>
          <w:b/>
        </w:rPr>
        <w:t xml:space="preserve">Apex Capital Management AG</w:t>
      </w:r>
    </w:p>
    <w:p>
      <w:pPr>
        <w:pStyle w:val="BodyText"/>
      </w:pPr>
      <w:r>
        <w:t xml:space="preserve">Attn: Dr. Heinrich Vogel, CFO</w:t>
      </w:r>
    </w:p>
    <w:p>
      <w:pPr>
        <w:pStyle w:val="BodyText"/>
      </w:pPr>
      <w:r>
        <w:t xml:space="preserve">Friedrichstraße 210, 10117 Berlin, Germany</w:t>
      </w:r>
    </w:p>
    <w:p>
      <w:pPr>
        <w:pStyle w:val="BodyText"/>
      </w:pPr>
      <w:r>
        <w:t xml:space="preserve">USt-IdNr.: DE 298 765 432</w:t>
      </w:r>
    </w:p>
    <w:p>
      <w:pPr>
        <w:pStyle w:val="BodyText"/>
      </w:pPr>
      <w:r>
        <w:t xml:space="preserve">IBAN: DE89 3704 0044 0532 0130 00</w:t>
      </w:r>
    </w:p>
    <w:bookmarkEnd w:id="22"/>
    <w:bookmarkStart w:id="23" w:name="service-provider"/>
    <w:p>
      <w:pPr>
        <w:pStyle w:val="Heading3"/>
      </w:pPr>
      <w:r>
        <w:t xml:space="preserve">Service Provider</w:t>
      </w:r>
    </w:p>
    <w:p>
      <w:pPr>
        <w:pStyle w:val="FirstParagraph"/>
      </w:pPr>
      <w:r>
        <w:rPr>
          <w:bCs/>
          <w:b/>
        </w:rPr>
        <w:t xml:space="preserve">Meridian Financial Advisory GmbH</w:t>
      </w:r>
    </w:p>
    <w:p>
      <w:pPr>
        <w:pStyle w:val="BodyText"/>
      </w:pPr>
      <w:r>
        <w:t xml:space="preserve">Lead Financial Analyst: Sarah Kowalski, CFA</w:t>
      </w:r>
    </w:p>
    <w:p>
      <w:pPr>
        <w:pStyle w:val="BodyText"/>
      </w:pPr>
      <w:r>
        <w:t xml:space="preserve">Unter den Linden 87, 10117 Berlin, Germany</w:t>
      </w:r>
    </w:p>
    <w:p>
      <w:pPr>
        <w:pStyle w:val="BodyText"/>
      </w:pPr>
      <w:r>
        <w:t xml:space="preserve">IBAN: DE44 5001 0517 0400 0123 45</w:t>
      </w:r>
    </w:p>
    <w:p>
      <w:pPr>
        <w:pStyle w:val="BodyText"/>
      </w:pPr>
      <w:r>
        <w:t xml:space="preserve">BIC: PBNKDEFF</w:t>
      </w:r>
    </w:p>
    <w:bookmarkEnd w:id="23"/>
    <w:bookmarkStart w:id="24" w:name="description-of-services-rendered"/>
    <w:p>
      <w:pPr>
        <w:pStyle w:val="Heading3"/>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Comprehensive quarterly financial analysis and performance reporting for Apex Capital Management AG, conducted by a senior Financial Analyst in Germany Berlin. Includes preparation of variance analysis, P&amp;L reconciliation, and KPI dashboards for the board of directors.</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c>
          <w:tcPr/>
          <w:p>
            <w:pPr>
              <w:pStyle w:val="Compact"/>
              <w:jc w:val="left"/>
            </w:pPr>
            <w:r>
              <w:t xml:space="preserve">1,322.40</w:t>
            </w:r>
          </w:p>
        </w:tc>
      </w:tr>
      <w:tr>
        <w:tc>
          <w:tcPr/>
          <w:p>
            <w:pPr>
              <w:pStyle w:val="Compact"/>
              <w:jc w:val="left"/>
            </w:pPr>
            <w:r>
              <w:t xml:space="preserve">02</w:t>
            </w:r>
          </w:p>
        </w:tc>
        <w:tc>
          <w:tcPr/>
          <w:p>
            <w:pPr>
              <w:pStyle w:val="Compact"/>
              <w:jc w:val="left"/>
            </w:pPr>
            <w:r>
              <w:t xml:space="preserve">Development of a 12-month cash flow forecasting model and liquidity risk assessment. The Financial Analyst prepared scenario-based projections incorporating market volatility indices relevant to the Germany Berlin financial sector and DAX 40 benchmark performance.</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c>
          <w:tcPr/>
          <w:p>
            <w:pPr>
              <w:pStyle w:val="Compact"/>
              <w:jc w:val="left"/>
            </w:pPr>
            <w:r>
              <w:t xml:space="preserve">881.60</w:t>
            </w:r>
          </w:p>
        </w:tc>
      </w:tr>
      <w:tr>
        <w:tc>
          <w:tcPr/>
          <w:p>
            <w:pPr>
              <w:pStyle w:val="Compact"/>
              <w:jc w:val="left"/>
            </w:pPr>
            <w:r>
              <w:t xml:space="preserve">03</w:t>
            </w:r>
          </w:p>
        </w:tc>
        <w:tc>
          <w:tcPr/>
          <w:p>
            <w:pPr>
              <w:pStyle w:val="Compact"/>
              <w:jc w:val="left"/>
            </w:pPr>
            <w:r>
              <w:t xml:space="preserve">Due diligence support for proposed acquisition of a mid-market logistics firm. The Financial Analyst performed discounted cash flow (DCF) valuation, sensitivity analysis, and peer comparison benchmarking in accordance with German commercial law (HGB) and IFRS standards.</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c>
          <w:tcPr/>
          <w:p>
            <w:pPr>
              <w:pStyle w:val="Compact"/>
              <w:jc w:val="left"/>
            </w:pPr>
            <w:r>
              <w:t xml:space="preserve">752.40</w:t>
            </w:r>
          </w:p>
        </w:tc>
      </w:tr>
      <w:tr>
        <w:tc>
          <w:tcPr/>
          <w:p>
            <w:pPr>
              <w:pStyle w:val="Compact"/>
              <w:jc w:val="left"/>
            </w:pPr>
            <w:r>
              <w:t xml:space="preserve">04</w:t>
            </w:r>
          </w:p>
        </w:tc>
        <w:tc>
          <w:tcPr/>
          <w:p>
            <w:pPr>
              <w:pStyle w:val="Compact"/>
              <w:jc w:val="left"/>
            </w:pPr>
            <w:r>
              <w:t xml:space="preserve">Monthly regulatory compliance review and preparation of management accounts for submission to the Bundesanstalt für Finanzdienstleistungsaufsicht (BaFin). The Financial Analyst ensured all reporting met the statutory requirements applicable to financial institutions operating in Germany Berlin.</w:t>
            </w:r>
          </w:p>
        </w:tc>
        <w:tc>
          <w:tcPr/>
          <w:p>
            <w:pPr>
              <w:pStyle w:val="Compact"/>
              <w:jc w:val="left"/>
            </w:pPr>
            <w:r>
              <w:t xml:space="preserve">16</w:t>
            </w:r>
          </w:p>
        </w:tc>
        <w:tc>
          <w:tcPr/>
          <w:p>
            <w:pPr>
              <w:pStyle w:val="Compact"/>
              <w:jc w:val="left"/>
            </w:pPr>
            <w:r>
              <w:t xml:space="preserve">145.00</w:t>
            </w:r>
          </w:p>
        </w:tc>
        <w:tc>
          <w:tcPr/>
          <w:p>
            <w:pPr>
              <w:pStyle w:val="Compact"/>
              <w:jc w:val="left"/>
            </w:pPr>
            <w:r>
              <w:t xml:space="preserve">2,320.00</w:t>
            </w:r>
          </w:p>
        </w:tc>
        <w:tc>
          <w:tcPr/>
          <w:p>
            <w:pPr>
              <w:pStyle w:val="Compact"/>
              <w:jc w:val="left"/>
            </w:pPr>
            <w:r>
              <w:t xml:space="preserve">440.80</w:t>
            </w:r>
          </w:p>
        </w:tc>
      </w:tr>
      <w:tr>
        <w:tc>
          <w:tcPr/>
          <w:p>
            <w:pPr>
              <w:pStyle w:val="Compact"/>
              <w:jc w:val="left"/>
            </w:pPr>
            <w:r>
              <w:t xml:space="preserve">05</w:t>
            </w:r>
          </w:p>
        </w:tc>
        <w:tc>
          <w:tcPr/>
          <w:p>
            <w:pPr>
              <w:pStyle w:val="Compact"/>
              <w:jc w:val="left"/>
            </w:pPr>
            <w:r>
              <w:t xml:space="preserve">Ad-hoc advisory session: presentation of investment portfolio rebalancing recommendations to the executive committee. The Financial Analyst delivered a 90-minute briefing with supporting data visualizations and risk-adjusted return analysis.</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c>
          <w:tcPr/>
          <w:p>
            <w:pPr>
              <w:pStyle w:val="Compact"/>
              <w:jc w:val="left"/>
            </w:pPr>
            <w:r>
              <w:t xml:space="preserve">210.90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(EUR)</w:t>
            </w:r>
          </w:p>
        </w:tc>
      </w:tr>
      <w:tr>
        <w:tc>
          <w:tcPr/>
          <w:p>
            <w:pPr>
              <w:pStyle w:val="Compact"/>
              <w:jc w:val="left"/>
            </w:pPr>
            <w:r>
              <w:t xml:space="preserve">Subtotal (Net)</w:t>
            </w:r>
          </w:p>
        </w:tc>
        <w:tc>
          <w:tcPr/>
          <w:p>
            <w:pPr>
              <w:pStyle w:val="Compact"/>
              <w:jc w:val="left"/>
            </w:pPr>
            <w:r>
              <w:t xml:space="preserve">19,000.00</w:t>
            </w:r>
          </w:p>
        </w:tc>
      </w:tr>
      <w:tr>
        <w:tc>
          <w:tcPr/>
          <w:p>
            <w:pPr>
              <w:pStyle w:val="Compact"/>
              <w:jc w:val="left"/>
            </w:pPr>
            <w:r>
              <w:t xml:space="preserve">VAT (19% – Umsatzsteuer)</w:t>
            </w:r>
          </w:p>
        </w:tc>
        <w:tc>
          <w:tcPr/>
          <w:p>
            <w:pPr>
              <w:pStyle w:val="Compact"/>
              <w:jc w:val="left"/>
            </w:pPr>
            <w:r>
              <w:t xml:space="preserve">3,610.00</w:t>
            </w:r>
          </w:p>
        </w:tc>
      </w:tr>
      <w:tr>
        <w:tc>
          <w:tcPr/>
          <w:p>
            <w:pPr>
              <w:pStyle w:val="Compact"/>
              <w:jc w:val="left"/>
            </w:pPr>
            <w:r>
              <w:t xml:space="preserve">Grand Total (Gross)</w:t>
            </w:r>
          </w:p>
        </w:tc>
        <w:tc>
          <w:tcPr/>
          <w:p>
            <w:pPr>
              <w:pStyle w:val="Compact"/>
              <w:jc w:val="left"/>
            </w:pPr>
            <w:r>
              <w:t xml:space="preserve">22,610.00</w:t>
            </w:r>
          </w:p>
        </w:tc>
      </w:tr>
      <w:tr>
        <w:tc>
          <w:tcPr/>
          <w:p>
            <w:pPr>
              <w:pStyle w:val="Compact"/>
              <w:jc w:val="left"/>
            </w:pPr>
            <w:r>
              <w:t xml:space="preserve">Payment Method</w:t>
            </w:r>
          </w:p>
        </w:tc>
        <w:tc>
          <w:tcPr/>
          <w:p>
            <w:pPr>
              <w:pStyle w:val="Compact"/>
              <w:jc w:val="left"/>
            </w:pPr>
            <w:r>
              <w:t xml:space="preserve">Bank Transfer (SEPA)</w:t>
            </w:r>
          </w:p>
        </w:tc>
      </w:tr>
    </w:tbl>
    <w:bookmarkEnd w:id="24"/>
    <w:bookmarkStart w:id="25" w:name="payment-terms-invoice-notes"/>
    <w:p>
      <w:pPr>
        <w:pStyle w:val="Heading3"/>
      </w:pPr>
      <w:r>
        <w:t xml:space="preserve">Payment Terms &amp; Invoice Notes</w:t>
      </w:r>
    </w:p>
    <w:p>
      <w:pPr>
        <w:pStyle w:val="FirstParagraph"/>
      </w:pPr>
      <w:r>
        <w:t xml:space="preserve">This Invoice is payable within 14 calendar days of the Invoice date via SEPA bank transfer to the IBAN listed above. Please reference Invoice number INV-2025-0487 in your payment remittance. In the event of late payment, statutory interest of 8 percentage points above the European Central Bank (ECB) reference rate will apply in accordance with § 288 of the German Civil Code (BGB). All services described in this Invoice were performed by a qualified Financial Analyst registered and operating in Germany Berlin, in full compliance with the German Commercial Code (Handelsgesetzbuch) and applicable professional standards of the Institut der Wirtschaftsprüfer (IDW).</w:t>
      </w:r>
    </w:p>
    <w:bookmarkEnd w:id="25"/>
    <w:bookmarkStart w:id="26" w:name="legal-regulatory-information"/>
    <w:p>
      <w:pPr>
        <w:pStyle w:val="Heading3"/>
      </w:pPr>
      <w:r>
        <w:t xml:space="preserve">Legal &amp; Regulatory Information</w:t>
      </w:r>
    </w:p>
    <w:p>
      <w:pPr>
        <w:pStyle w:val="FirstParagraph"/>
      </w:pPr>
      <w:r>
        <w:t xml:space="preserve">This Invoice has been issued in accordance with § 14 of the German Value Added Tax Act (Umsatzsteuergesetz – UStG) and § 273a of the German Commercial Code (HGB). The Financial Analyst services rendered under this Invoice are subject to the professional confidentiality obligations defined under § 43a of the German Securities Trading Act (Wertpapierhandelsgesetz – WpHG).</w:t>
      </w:r>
    </w:p>
    <w:p>
      <w:pPr>
        <w:pStyle w:val="BodyText"/>
      </w:pPr>
      <w:r>
        <w:t xml:space="preserve">Meridian Financial Advisory GmbH is a limited liability company (Gesellschaft mit beschränkter Haftung) registered with the Commercial Register of the Local Court of Berlin-Charlottenburg (Amtsgericht Berlin-Charlottenburg, HRB 123456 B). The managing director (Geschäftsführer) is Markus Steinberg. The company's registered office is located in Germany Berlin, and all financial reporting is conducted in Euro (EUR) in compliance with German and European Union accounting directives.</w:t>
      </w:r>
    </w:p>
    <w:p>
      <w:pPr>
        <w:pStyle w:val="BodyText"/>
      </w:pPr>
      <w:r>
        <w:t xml:space="preserve">Any disputes arising from this Invoice shall be governed by the laws of the Federal Republic of Germany. The exclusive place of jurisdiction for all legal matters related to this Invoice is Berlin, Germany. The client acknowledges that the Financial Analyst's work product, including all models, analyses, and reports delivered under this engagement, remains the intellectual property of Meridian Financial Advisory GmbH unless otherwise agreed in writing.</w:t>
      </w:r>
    </w:p>
    <w:p>
      <w:pPr>
        <w:pStyle w:val="BodyText"/>
      </w:pPr>
      <w:r>
        <w:t xml:space="preserve">This Invoice is valid for a period of 10 years from the date of issue in accordance with § 257 HGB. A duplicate copy of this Invoice may be requested from the billing department at billing@meridian-financial.de. Please retain this document for your corporate tax records and annual financial statement preparation.</w:t>
      </w:r>
    </w:p>
    <w:bookmarkEnd w:id="26"/>
    <w:p>
      <w:pPr>
        <w:pStyle w:val="BodyText"/>
      </w:pPr>
      <w:r>
        <w:t xml:space="preserve">Meridian Financial Advisory GmbH | Unter den Linden 87, 10117 Berlin, Germany | USt-IdNr.: DE 312 456 789</w:t>
      </w:r>
    </w:p>
    <w:p>
      <w:pPr>
        <w:pStyle w:val="BodyText"/>
      </w:pPr>
      <w:r>
        <w:t xml:space="preserve">Thank you for your business. This Invoice was prepared and issued by the Financial Analyst team at Meridian Financial Advisory GmbH, Germany Berlin.</w:t>
      </w:r>
    </w:p>
    <w:p>
      <w:pPr>
        <w:pStyle w:val="BodyText"/>
      </w:pPr>
      <w:r>
        <w:t xml:space="preserve">Document generated on 15 June 2025 | Page 1 of 1 |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Germany Berlin</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