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finanalytica-gmbh"/>
    <w:p>
      <w:pPr>
        <w:pStyle w:val="Heading1"/>
      </w:pPr>
      <w:r>
        <w:t xml:space="preserve">FinAnalytica GmbH</w:t>
      </w:r>
    </w:p>
    <w:p>
      <w:pPr>
        <w:pStyle w:val="FirstParagraph"/>
      </w:pPr>
      <w:r>
        <w:t xml:space="preserve">Maximilianstraße 42, 80539 Munich, Germany</w:t>
      </w:r>
    </w:p>
    <w:p>
      <w:pPr>
        <w:pStyle w:val="BodyText"/>
      </w:pPr>
      <w:r>
        <w:t xml:space="preserve">Phone: +49 89 1234 5678</w:t>
      </w:r>
    </w:p>
    <w:p>
      <w:pPr>
        <w:pStyle w:val="BodyText"/>
      </w:pPr>
      <w:r>
        <w:t xml:space="preserve">Email: billing@finanalytica.de</w:t>
      </w:r>
    </w:p>
    <w:p>
      <w:pPr>
        <w:pStyle w:val="BodyText"/>
      </w:pPr>
      <w:r>
        <w:t xml:space="preserve">USt-IdNr.: DE 312 456 789</w:t>
      </w:r>
    </w:p>
    <w:p>
      <w:pPr>
        <w:pStyle w:val="BodyText"/>
      </w:pPr>
      <w:r>
        <w:t xml:space="preserve">HRB 245678, Amtsgericht München</w:t>
      </w:r>
    </w:p>
    <w:bookmarkEnd w:id="20"/>
    <w:bookmarkStart w:id="21" w:name="invoice"/>
    <w:p>
      <w:pPr>
        <w:pStyle w:val="Heading2"/>
      </w:pPr>
      <w:r>
        <w:t xml:space="preserve">INVOICE</w:t>
      </w:r>
    </w:p>
    <w:p>
      <w:pPr>
        <w:pStyle w:val="FirstParagraph"/>
      </w:pPr>
      <w:r>
        <w:t xml:space="preserve">Rechnung</w:t>
      </w:r>
    </w:p>
    <w:p>
      <w:pPr>
        <w:pStyle w:val="BodyText"/>
      </w:pPr>
      <w:r>
        <w:t xml:space="preserve">Invoice No.: FA-2025-0047</w:t>
      </w:r>
    </w:p>
    <w:bookmarkEnd w:id="21"/>
    <w:bookmarkStart w:id="22" w:name="bill-to-kunde"/>
    <w:p>
      <w:pPr>
        <w:pStyle w:val="Heading3"/>
      </w:pPr>
      <w:r>
        <w:t xml:space="preserve">Bill To (Kunde)</w:t>
      </w:r>
    </w:p>
    <w:p>
      <w:pPr>
        <w:pStyle w:val="FirstParagraph"/>
      </w:pPr>
      <w:r>
        <w:rPr>
          <w:bCs/>
          <w:b/>
        </w:rPr>
        <w:t xml:space="preserve">Bavarian Industrial Holdings AG</w:t>
      </w:r>
    </w:p>
    <w:p>
      <w:pPr>
        <w:pStyle w:val="BodyText"/>
      </w:pPr>
      <w:r>
        <w:t xml:space="preserve">Leopoldstraße 18</w:t>
      </w:r>
    </w:p>
    <w:p>
      <w:pPr>
        <w:pStyle w:val="BodyText"/>
      </w:pPr>
      <w:r>
        <w:t xml:space="preserve">80802 Munich, Germany</w:t>
      </w:r>
    </w:p>
    <w:p>
      <w:pPr>
        <w:pStyle w:val="BodyText"/>
      </w:pPr>
      <w:r>
        <w:t xml:space="preserve">Attn: Dr. Heinrich Müller, CFO</w:t>
      </w:r>
    </w:p>
    <w:p>
      <w:pPr>
        <w:pStyle w:val="BodyText"/>
      </w:pPr>
      <w:r>
        <w:t xml:space="preserve">VAT ID: DE 198 765 432</w:t>
      </w:r>
    </w:p>
    <w:bookmarkEnd w:id="22"/>
    <w:bookmarkStart w:id="23" w:name="service-provider"/>
    <w:p>
      <w:pPr>
        <w:pStyle w:val="Heading3"/>
      </w:pPr>
      <w:r>
        <w:t xml:space="preserve">Service Provider</w:t>
      </w:r>
    </w:p>
    <w:p>
      <w:pPr>
        <w:pStyle w:val="FirstParagraph"/>
      </w:pPr>
      <w:r>
        <w:rPr>
          <w:bCs/>
          <w:b/>
        </w:rPr>
        <w:t xml:space="preserve">FinAnalytica GmbH</w:t>
      </w:r>
    </w:p>
    <w:p>
      <w:pPr>
        <w:pStyle w:val="BodyText"/>
      </w:pPr>
      <w:r>
        <w:t xml:space="preserve">Maximilianstraße 42</w:t>
      </w:r>
    </w:p>
    <w:p>
      <w:pPr>
        <w:pStyle w:val="BodyText"/>
      </w:pPr>
      <w:r>
        <w:t xml:space="preserve">80539 Munich, Germany</w:t>
      </w:r>
    </w:p>
    <w:p>
      <w:pPr>
        <w:pStyle w:val="BodyText"/>
      </w:pPr>
      <w:r>
        <w:t xml:space="preserve">Managing Director: Sarah Weber</w:t>
      </w:r>
    </w:p>
    <w:p>
      <w:pPr>
        <w:pStyle w:val="BodyText"/>
      </w:pPr>
      <w:r>
        <w:t xml:space="preserve">Bank: Bayerische Landesbank</w:t>
      </w:r>
    </w:p>
    <w:p>
      <w:pPr>
        <w:pStyle w:val="BodyText"/>
      </w:pPr>
      <w:r>
        <w:t xml:space="preserve">IBAN: DE89 1005 0000 0053 2013 84</w:t>
      </w:r>
    </w:p>
    <w:p>
      <w:pPr>
        <w:pStyle w:val="BodyText"/>
      </w:pPr>
      <w:r>
        <w:t xml:space="preserve">BIC: BYLADEM1001</w:t>
      </w:r>
    </w:p>
    <w:bookmarkEnd w:id="23"/>
    <w:p>
      <w:pPr>
        <w:pStyle w:val="BodyText"/>
      </w:pPr>
      <w:r>
        <w:rPr>
          <w:bCs/>
          <w:b/>
        </w:rPr>
        <w:t xml:space="preserve">Invoice Date:</w:t>
      </w:r>
      <w:r>
        <w:t xml:space="preserve"> </w:t>
      </w:r>
      <w:r>
        <w:t xml:space="preserve">15 June 2025</w:t>
      </w:r>
    </w:p>
    <w:p>
      <w:pPr>
        <w:pStyle w:val="BodyText"/>
      </w:pPr>
      <w:r>
        <w:rPr>
          <w:bCs/>
          <w:b/>
        </w:rPr>
        <w:t xml:space="preserve">Service Period:</w:t>
      </w:r>
      <w:r>
        <w:t xml:space="preserve"> </w:t>
      </w:r>
      <w:r>
        <w:t xml:space="preserve">01 May 2025 – 31 May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Financial Analyst – Quarterly Financial Reporting &amp; Variance Analysis for Bavarian Industrial Holdings AG, Munich operations</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€3,800.00</w:t>
            </w:r>
          </w:p>
        </w:tc>
      </w:tr>
      <w:tr>
        <w:tc>
          <w:tcPr/>
          <w:p>
            <w:pPr>
              <w:pStyle w:val="Compact"/>
              <w:jc w:val="left"/>
            </w:pPr>
            <w:r>
              <w:t xml:space="preserve">2</w:t>
            </w:r>
          </w:p>
        </w:tc>
        <w:tc>
          <w:tcPr/>
          <w:p>
            <w:pPr>
              <w:pStyle w:val="Compact"/>
              <w:jc w:val="left"/>
            </w:pPr>
            <w:r>
              <w:t xml:space="preserve">Financial Analyst – Budget Forecasting &amp; Cash Flow Modelling for FY2025/2026, prepared in accordance with German commercial law (HGB)</w:t>
            </w:r>
          </w:p>
        </w:tc>
        <w:tc>
          <w:tcPr/>
          <w:p>
            <w:pPr>
              <w:pStyle w:val="Compact"/>
              <w:jc w:val="left"/>
            </w:pPr>
            <w:r>
              <w:t xml:space="preserve">32</w:t>
            </w:r>
          </w:p>
        </w:tc>
        <w:tc>
          <w:tcPr/>
          <w:p>
            <w:pPr>
              <w:pStyle w:val="Compact"/>
              <w:jc w:val="left"/>
            </w:pPr>
            <w:r>
              <w:t xml:space="preserve">€95.00</w:t>
            </w:r>
          </w:p>
        </w:tc>
        <w:tc>
          <w:tcPr/>
          <w:p>
            <w:pPr>
              <w:pStyle w:val="Compact"/>
              <w:jc w:val="left"/>
            </w:pPr>
            <w:r>
              <w:t xml:space="preserve">€3,040.00</w:t>
            </w:r>
          </w:p>
        </w:tc>
      </w:tr>
      <w:tr>
        <w:tc>
          <w:tcPr/>
          <w:p>
            <w:pPr>
              <w:pStyle w:val="Compact"/>
              <w:jc w:val="left"/>
            </w:pPr>
            <w:r>
              <w:t xml:space="preserve">3</w:t>
            </w:r>
          </w:p>
        </w:tc>
        <w:tc>
          <w:tcPr/>
          <w:p>
            <w:pPr>
              <w:pStyle w:val="Compact"/>
              <w:jc w:val="left"/>
            </w:pPr>
            <w:r>
              <w:t xml:space="preserve">Financial Analyst – Investment Appraisal &amp; Capital Expenditure Analysis for new manufacturing facility in Munich metropolitan area</w:t>
            </w:r>
          </w:p>
        </w:tc>
        <w:tc>
          <w:tcPr/>
          <w:p>
            <w:pPr>
              <w:pStyle w:val="Compact"/>
              <w:jc w:val="left"/>
            </w:pPr>
            <w:r>
              <w:t xml:space="preserve">24</w:t>
            </w:r>
          </w:p>
        </w:tc>
        <w:tc>
          <w:tcPr/>
          <w:p>
            <w:pPr>
              <w:pStyle w:val="Compact"/>
              <w:jc w:val="left"/>
            </w:pPr>
            <w:r>
              <w:t xml:space="preserve">€110.00</w:t>
            </w:r>
          </w:p>
        </w:tc>
        <w:tc>
          <w:tcPr/>
          <w:p>
            <w:pPr>
              <w:pStyle w:val="Compact"/>
              <w:jc w:val="left"/>
            </w:pPr>
            <w:r>
              <w:t xml:space="preserve">€2,640.00</w:t>
            </w:r>
          </w:p>
        </w:tc>
      </w:tr>
      <w:tr>
        <w:tc>
          <w:tcPr/>
          <w:p>
            <w:pPr>
              <w:pStyle w:val="Compact"/>
              <w:jc w:val="left"/>
            </w:pPr>
            <w:r>
              <w:t xml:space="preserve">4</w:t>
            </w:r>
          </w:p>
        </w:tc>
        <w:tc>
          <w:tcPr/>
          <w:p>
            <w:pPr>
              <w:pStyle w:val="Compact"/>
              <w:jc w:val="left"/>
            </w:pPr>
            <w:r>
              <w:t xml:space="preserve">Financial Analyst – Risk Assessment &amp; Sensitivity Analysis on currency exposure (EUR/USD) for international trade divisions</w:t>
            </w:r>
          </w:p>
        </w:tc>
        <w:tc>
          <w:tcPr/>
          <w:p>
            <w:pPr>
              <w:pStyle w:val="Compact"/>
              <w:jc w:val="left"/>
            </w:pPr>
            <w:r>
              <w:t xml:space="preserve">16</w:t>
            </w:r>
          </w:p>
        </w:tc>
        <w:tc>
          <w:tcPr/>
          <w:p>
            <w:pPr>
              <w:pStyle w:val="Compact"/>
              <w:jc w:val="left"/>
            </w:pPr>
            <w:r>
              <w:t xml:space="preserve">€110.00</w:t>
            </w:r>
          </w:p>
        </w:tc>
        <w:tc>
          <w:tcPr/>
          <w:p>
            <w:pPr>
              <w:pStyle w:val="Compact"/>
              <w:jc w:val="left"/>
            </w:pPr>
            <w:r>
              <w:t xml:space="preserve">€1,760.00</w:t>
            </w:r>
          </w:p>
        </w:tc>
      </w:tr>
      <w:tr>
        <w:tc>
          <w:tcPr/>
          <w:p>
            <w:pPr>
              <w:pStyle w:val="Compact"/>
              <w:jc w:val="left"/>
            </w:pPr>
            <w:r>
              <w:t xml:space="preserve">5</w:t>
            </w:r>
          </w:p>
        </w:tc>
        <w:tc>
          <w:tcPr/>
          <w:p>
            <w:pPr>
              <w:pStyle w:val="Compact"/>
              <w:jc w:val="left"/>
            </w:pPr>
            <w:r>
              <w:t xml:space="preserve">Financial Analyst – Stakeholder Presentation &amp; Board Reporting Support, Munich headquarters, including preparation of IFRS-compliant summaries</w:t>
            </w:r>
          </w:p>
        </w:tc>
        <w:tc>
          <w:tcPr/>
          <w:p>
            <w:pPr>
              <w:pStyle w:val="Compact"/>
              <w:jc w:val="left"/>
            </w:pPr>
            <w:r>
              <w:t xml:space="preserve">12</w:t>
            </w:r>
          </w:p>
        </w:tc>
        <w:tc>
          <w:tcPr/>
          <w:p>
            <w:pPr>
              <w:pStyle w:val="Compact"/>
              <w:jc w:val="left"/>
            </w:pPr>
            <w:r>
              <w:t xml:space="preserve">€120.00</w:t>
            </w:r>
          </w:p>
        </w:tc>
        <w:tc>
          <w:tcPr/>
          <w:p>
            <w:pPr>
              <w:pStyle w:val="Compact"/>
              <w:jc w:val="left"/>
            </w:pPr>
            <w:r>
              <w:t xml:space="preserve">€1,440.00</w:t>
            </w:r>
          </w:p>
        </w:tc>
      </w:tr>
      <w:tr>
        <w:tc>
          <w:tcPr/>
          <w:p>
            <w:pPr>
              <w:pStyle w:val="Compact"/>
              <w:jc w:val="left"/>
            </w:pPr>
            <w:r>
              <w:t xml:space="preserve">6</w:t>
            </w:r>
          </w:p>
        </w:tc>
        <w:tc>
          <w:tcPr/>
          <w:p>
            <w:pPr>
              <w:pStyle w:val="Compact"/>
              <w:jc w:val="left"/>
            </w:pPr>
            <w:r>
              <w:t xml:space="preserve">Financial Analyst – Ad-hoc Market Research &amp; Competitive Benchmarking within the German industrial sector</w:t>
            </w:r>
          </w:p>
        </w:tc>
        <w:tc>
          <w:tcPr/>
          <w:p>
            <w:pPr>
              <w:pStyle w:val="Compact"/>
              <w:jc w:val="left"/>
            </w:pPr>
            <w:r>
              <w:t xml:space="preserve">8</w:t>
            </w:r>
          </w:p>
        </w:tc>
        <w:tc>
          <w:tcPr/>
          <w:p>
            <w:pPr>
              <w:pStyle w:val="Compact"/>
              <w:jc w:val="left"/>
            </w:pPr>
            <w:r>
              <w:t xml:space="preserve">€95.00</w:t>
            </w:r>
          </w:p>
        </w:tc>
        <w:tc>
          <w:tcPr/>
          <w:p>
            <w:pPr>
              <w:pStyle w:val="Compact"/>
              <w:jc w:val="left"/>
            </w:pPr>
            <w:r>
              <w:t xml:space="preserve">€760.00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(Netto)</w:t>
            </w:r>
          </w:p>
        </w:tc>
        <w:tc>
          <w:tcPr/>
          <w:p>
            <w:pPr>
              <w:pStyle w:val="Compact"/>
              <w:jc w:val="left"/>
            </w:pPr>
            <w:r>
              <w:t xml:space="preserve">€13,440.00</w:t>
            </w:r>
          </w:p>
        </w:tc>
      </w:tr>
      <w:tr>
        <w:tc>
          <w:tcPr/>
          <w:p>
            <w:pPr>
              <w:pStyle w:val="Compact"/>
              <w:jc w:val="left"/>
            </w:pPr>
            <w:r>
              <w:t xml:space="preserve">VAT / USt (19%)</w:t>
            </w:r>
          </w:p>
        </w:tc>
        <w:tc>
          <w:tcPr/>
          <w:p>
            <w:pPr>
              <w:pStyle w:val="Compact"/>
              <w:jc w:val="left"/>
            </w:pPr>
            <w:r>
              <w:t xml:space="preserve">€2,553.60</w:t>
            </w:r>
          </w:p>
        </w:tc>
      </w:tr>
      <w:tr>
        <w:tc>
          <w:tcPr/>
          <w:p>
            <w:pPr>
              <w:pStyle w:val="Compact"/>
              <w:jc w:val="left"/>
            </w:pPr>
            <w:r>
              <w:t xml:space="preserve">Grand Total (Brutto)</w:t>
            </w:r>
          </w:p>
        </w:tc>
        <w:tc>
          <w:tcPr/>
          <w:p>
            <w:pPr>
              <w:pStyle w:val="Compact"/>
              <w:jc w:val="left"/>
            </w:pPr>
            <w:r>
              <w:t xml:space="preserve">€15,993.60</w:t>
            </w:r>
          </w:p>
        </w:tc>
      </w:tr>
    </w:tbl>
    <w:bookmarkStart w:id="24" w:name="payment-instructions-invoice-settlement"/>
    <w:p>
      <w:pPr>
        <w:pStyle w:val="Heading3"/>
      </w:pPr>
      <w:r>
        <w:t xml:space="preserve">Payment Instructions – Invoice Settlement</w:t>
      </w:r>
    </w:p>
    <w:p>
      <w:pPr>
        <w:pStyle w:val="FirstParagraph"/>
      </w:pPr>
      <w:r>
        <w:t xml:space="preserve">Please remit payment of</w:t>
      </w:r>
      <w:r>
        <w:t xml:space="preserve"> </w:t>
      </w:r>
      <w:r>
        <w:rPr>
          <w:bCs/>
          <w:b/>
        </w:rPr>
        <w:t xml:space="preserve">€15,993.60</w:t>
      </w:r>
      <w:r>
        <w:t xml:space="preserve"> </w:t>
      </w:r>
      <w:r>
        <w:t xml:space="preserve">via SEPA bank transfer to the account details listed above. Reference the Invoice number</w:t>
      </w:r>
      <w:r>
        <w:t xml:space="preserve"> </w:t>
      </w:r>
      <w:r>
        <w:rPr>
          <w:bCs/>
          <w:b/>
        </w:rPr>
        <w:t xml:space="preserve">FA-2025-0047</w:t>
      </w:r>
      <w:r>
        <w:t xml:space="preserve"> </w:t>
      </w:r>
      <w:r>
        <w:t xml:space="preserve">in your payment reference field. Payments are to be made within 30 calendar days of the invoice date, in accordance with the commercial terms agreed upon for this Financial Analyst engagement in Munich, Germany.</w:t>
      </w:r>
    </w:p>
    <w:p>
      <w:pPr>
        <w:pStyle w:val="BodyText"/>
      </w:pPr>
      <w:r>
        <w:t xml:space="preserve">In the event of late payment, statutory interest of 8 percentage points above the European Central Bank base rate shall apply, as per § 288 of the German Civil Code (BGB).</w:t>
      </w:r>
    </w:p>
    <w:bookmarkEnd w:id="24"/>
    <w:bookmarkStart w:id="25" w:name="notes-terms-of-service"/>
    <w:p>
      <w:pPr>
        <w:pStyle w:val="Heading3"/>
      </w:pPr>
      <w:r>
        <w:t xml:space="preserve">Notes &amp; Terms of Service</w:t>
      </w:r>
    </w:p>
    <w:p>
      <w:pPr>
        <w:pStyle w:val="FirstParagraph"/>
      </w:pPr>
      <w:r>
        <w:t xml:space="preserve">This Invoice is issued by FinAnalytica GmbH, a limited liability company registered in Munich, Germany, in connection with the provision of professional Financial Analyst services to Bavarian Industrial Holdings AG. All services described herein were performed by a certified Financial Analyst operating out of our Munich office in compliance with applicable German professional standards and data protection regulations (GDPR / DSGVO).</w:t>
      </w:r>
    </w:p>
    <w:p>
      <w:pPr>
        <w:pStyle w:val="BodyText"/>
      </w:pPr>
      <w:r>
        <w:t xml:space="preserve">The Financial Analyst engagement covered the full service period from 1 May 2025 through 31 May 2025. All deliverables, including but not limited to financial models, variance reports, investment appraisals, and board presentations, have been completed and delivered to the client's designated representative at their Munich headquarters. The Financial Analyst adhered to the highest standards of analytical rigour, confidentiality, and professional integrity throughout the duration of this contract.</w:t>
      </w:r>
    </w:p>
    <w:p>
      <w:pPr>
        <w:pStyle w:val="BodyText"/>
      </w:pPr>
      <w:r>
        <w:t xml:space="preserve">This Invoice constitutes the final and complete billing for all Financial Analyst services rendered during the stated period. No additional fees or charges are applicable beyond those itemised above. Should the client require further Financial Analyst support, additional services, or an extension of the engagement beyond the current period, a separate written agreement and supplementary Invoice will be issued in accordance with the master service agreement dated 1 January 2025.</w:t>
      </w:r>
    </w:p>
    <w:p>
      <w:pPr>
        <w:pStyle w:val="BodyText"/>
      </w:pPr>
      <w:r>
        <w:t xml:space="preserve">All financial data, projections, and analyses prepared by the Financial Analyst are the intellectual property of FinAnalytica GmbH and are provided solely for the internal use of Bavarian Industrial Holdings AG. Reproduction or distribution of this Invoice or the underlying analytical work without prior written consent is prohibited under German copyright law (Urheberrechtsgesetz).</w:t>
      </w:r>
    </w:p>
    <w:p>
      <w:pPr>
        <w:pStyle w:val="BodyText"/>
      </w:pPr>
      <w:r>
        <w:t xml:space="preserve">For any queries regarding this Invoice, the scope of Financial Analyst services, or payment matters, please contact our billing department in Munich at billing@finanalytica.de or by telephone at +49 89 1234 5678. We appreciate your continued partnership and look forward to supporting your financial strategy in Germany and beyond.</w:t>
      </w:r>
    </w:p>
    <w:bookmarkEnd w:id="25"/>
    <w:p>
      <w:pPr>
        <w:pStyle w:val="BodyText"/>
      </w:pPr>
      <w:r>
        <w:t xml:space="preserve">FinAnalytica GmbH · Maximilianstraße 42 · 80539 Munich, Germany · USt-IdNr.: DE 312 456 789 · HRB 245678 Amtsgericht München</w:t>
      </w:r>
    </w:p>
    <w:p>
      <w:pPr>
        <w:pStyle w:val="BodyText"/>
      </w:pPr>
      <w:r>
        <w:t xml:space="preserve">This Invoice was generated electronically and is valid without a physical signature in accordance with § 146a of the German Tax Code (Abgabenordnung).</w:t>
      </w:r>
    </w:p>
    <w:p>
      <w:pPr>
        <w:pStyle w:val="BodyText"/>
      </w:pPr>
      <w:r>
        <w:t xml:space="preserve">Thank you for your business. We value our partnership with clients across Munich and throughout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Munich, Germany</dc:title>
  <dc:creator/>
  <dc:language>en</dc:language>
  <cp:keywords/>
  <dcterms:created xsi:type="dcterms:W3CDTF">2026-10-10T09:25:47Z</dcterms:created>
  <dcterms:modified xsi:type="dcterms:W3CDTF">2026-10-10T09:25:47Z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