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financial-advisory"/>
    <w:p>
      <w:pPr>
        <w:pStyle w:val="Heading1"/>
      </w:pPr>
      <w:r>
        <w:t xml:space="preserve">PT Nusantara Financial Advisory</w:t>
      </w:r>
    </w:p>
    <w:p>
      <w:pPr>
        <w:pStyle w:val="FirstParagraph"/>
      </w:pPr>
      <w:r>
        <w:t xml:space="preserve">Jl. Jend. Sudirman Kav. 52-53, Menara Astra Lt. 21</w:t>
      </w:r>
    </w:p>
    <w:p>
      <w:pPr>
        <w:pStyle w:val="BodyText"/>
      </w:pPr>
      <w:r>
        <w:t xml:space="preserve">Setiabudi, Indonesia Jakarta 12190</w:t>
      </w:r>
    </w:p>
    <w:p>
      <w:pPr>
        <w:pStyle w:val="BodyText"/>
      </w:pPr>
      <w:r>
        <w:t xml:space="preserve">Tel: +62-21-5150-8800 | Email: billing@nusantara-financial.co.id</w:t>
      </w:r>
    </w:p>
    <w:p>
      <w:pPr>
        <w:pStyle w:val="BodyText"/>
      </w:pPr>
      <w:r>
        <w:t xml:space="preserve">NPWP: 01.234.567.8-051.000</w:t>
      </w:r>
    </w:p>
    <w:bookmarkEnd w:id="20"/>
    <w:bookmarkStart w:id="21" w:name="invoice"/>
    <w:p>
      <w:pPr>
        <w:pStyle w:val="Heading2"/>
      </w:pPr>
      <w:r>
        <w:t xml:space="preserve">INVOICE</w:t>
      </w:r>
    </w:p>
    <w:p>
      <w:pPr>
        <w:pStyle w:val="FirstParagraph"/>
      </w:pPr>
      <w:r>
        <w:t xml:space="preserve">Invoice No: INV/2025/JKT/04782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PT Artha Mandiri Group</w:t>
      </w:r>
    </w:p>
    <w:p>
      <w:pPr>
        <w:pStyle w:val="BodyText"/>
      </w:pPr>
      <w:r>
        <w:t xml:space="preserve">Jl. Gatot Subroto Kav. 28, SCBD Lot 28</w:t>
      </w:r>
    </w:p>
    <w:p>
      <w:pPr>
        <w:pStyle w:val="BodyText"/>
      </w:pPr>
      <w:r>
        <w:t xml:space="preserve">Setiabudi, Indonesia Jakarta 12950</w:t>
      </w:r>
    </w:p>
    <w:p>
      <w:pPr>
        <w:pStyle w:val="BodyText"/>
      </w:pPr>
      <w:r>
        <w:t xml:space="preserve">Attn: Mr. Budi Santoso, CFO</w:t>
      </w:r>
    </w:p>
    <w:p>
      <w:pPr>
        <w:pStyle w:val="BodyText"/>
      </w:pPr>
      <w:r>
        <w:t xml:space="preserve">NPWP: 09.876.543.2-051.000</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Financial Analyst Consulting</w:t>
      </w:r>
    </w:p>
    <w:p>
      <w:pPr>
        <w:pStyle w:val="BodyText"/>
      </w:pPr>
      <w:r>
        <w:rPr>
          <w:bCs/>
          <w:b/>
        </w:rPr>
        <w:t xml:space="preserve">Project:</w:t>
      </w:r>
      <w:r>
        <w:t xml:space="preserve"> </w:t>
      </w:r>
      <w:r>
        <w:t xml:space="preserve">Q2 2025 Financial Performance Review</w:t>
      </w:r>
    </w:p>
    <w:p>
      <w:pPr>
        <w:pStyle w:val="BodyText"/>
      </w:pPr>
      <w:r>
        <w:rPr>
          <w:bCs/>
          <w:b/>
        </w:rPr>
        <w:t xml:space="preserve">Location:</w:t>
      </w:r>
      <w:r>
        <w:t xml:space="preserve"> </w:t>
      </w:r>
      <w:r>
        <w:t xml:space="preserve">Indonesia Jakarta Office</w:t>
      </w:r>
    </w:p>
    <w:p>
      <w:pPr>
        <w:pStyle w:val="BodyText"/>
      </w:pPr>
      <w:r>
        <w:rPr>
          <w:bCs/>
          <w:b/>
        </w:rPr>
        <w:t xml:space="preserve">Period:</w:t>
      </w:r>
      <w:r>
        <w:t xml:space="preserve"> </w:t>
      </w:r>
      <w:r>
        <w:t xml:space="preserve">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Financial Analyst Services</w:t>
            </w:r>
          </w:p>
        </w:tc>
        <w:tc>
          <w:tcPr/>
          <w:p>
            <w:pPr>
              <w:pStyle w:val="Compact"/>
              <w:jc w:val="left"/>
            </w:pPr>
            <w:r>
              <w:t xml:space="preserve">Rate (IDR)</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Senior Financial Analyst – Quarterly Financial Statement Analysis &amp; Variance Reporting for Indonesia Jakarta operations</w:t>
            </w:r>
          </w:p>
        </w:tc>
        <w:tc>
          <w:tcPr/>
          <w:p>
            <w:pPr>
              <w:pStyle w:val="Compact"/>
              <w:jc w:val="left"/>
            </w:pPr>
            <w:r>
              <w:t xml:space="preserve">1,250,000</w:t>
            </w:r>
          </w:p>
        </w:tc>
        <w:tc>
          <w:tcPr/>
          <w:p>
            <w:pPr>
              <w:pStyle w:val="Compact"/>
              <w:jc w:val="left"/>
            </w:pPr>
            <w:r>
              <w:t xml:space="preserve">40</w:t>
            </w:r>
          </w:p>
        </w:tc>
        <w:tc>
          <w:tcPr/>
          <w:p>
            <w:pPr>
              <w:pStyle w:val="Compact"/>
              <w:jc w:val="left"/>
            </w:pPr>
            <w:r>
              <w:t xml:space="preserve">1</w:t>
            </w:r>
          </w:p>
        </w:tc>
        <w:tc>
          <w:tcPr/>
          <w:p>
            <w:pPr>
              <w:pStyle w:val="Compact"/>
              <w:jc w:val="left"/>
            </w:pPr>
            <w:r>
              <w:t xml:space="preserve">50,000,000</w:t>
            </w:r>
          </w:p>
        </w:tc>
      </w:tr>
      <w:tr>
        <w:tc>
          <w:tcPr/>
          <w:p>
            <w:pPr>
              <w:pStyle w:val="Compact"/>
              <w:jc w:val="left"/>
            </w:pPr>
            <w:r>
              <w:t xml:space="preserve">2</w:t>
            </w:r>
          </w:p>
        </w:tc>
        <w:tc>
          <w:tcPr/>
          <w:p>
            <w:pPr>
              <w:pStyle w:val="Compact"/>
              <w:jc w:val="left"/>
            </w:pPr>
            <w:r>
              <w:t xml:space="preserve">Financial Analyst – Budget Forecasting &amp; Cash Flow Projection for FY2025 Indonesia Jakarta Division</w:t>
            </w:r>
          </w:p>
        </w:tc>
        <w:tc>
          <w:tcPr/>
          <w:p>
            <w:pPr>
              <w:pStyle w:val="Compact"/>
              <w:jc w:val="left"/>
            </w:pPr>
            <w:r>
              <w:t xml:space="preserve">950,000</w:t>
            </w:r>
          </w:p>
        </w:tc>
        <w:tc>
          <w:tcPr/>
          <w:p>
            <w:pPr>
              <w:pStyle w:val="Compact"/>
              <w:jc w:val="left"/>
            </w:pPr>
            <w:r>
              <w:t xml:space="preserve">32</w:t>
            </w:r>
          </w:p>
        </w:tc>
        <w:tc>
          <w:tcPr/>
          <w:p>
            <w:pPr>
              <w:pStyle w:val="Compact"/>
              <w:jc w:val="left"/>
            </w:pPr>
            <w:r>
              <w:t xml:space="preserve">1</w:t>
            </w:r>
          </w:p>
        </w:tc>
        <w:tc>
          <w:tcPr/>
          <w:p>
            <w:pPr>
              <w:pStyle w:val="Compact"/>
              <w:jc w:val="left"/>
            </w:pPr>
            <w:r>
              <w:t xml:space="preserve">30,400,000</w:t>
            </w:r>
          </w:p>
        </w:tc>
      </w:tr>
      <w:tr>
        <w:tc>
          <w:tcPr/>
          <w:p>
            <w:pPr>
              <w:pStyle w:val="Compact"/>
              <w:jc w:val="left"/>
            </w:pPr>
            <w:r>
              <w:t xml:space="preserve">3</w:t>
            </w:r>
          </w:p>
        </w:tc>
        <w:tc>
          <w:tcPr/>
          <w:p>
            <w:pPr>
              <w:pStyle w:val="Compact"/>
              <w:jc w:val="left"/>
            </w:pPr>
            <w:r>
              <w:t xml:space="preserve">Financial Analyst – Risk Assessment &amp; Compliance Review under OJK Regulations, Indonesia Jakarta</w:t>
            </w:r>
          </w:p>
        </w:tc>
        <w:tc>
          <w:tcPr/>
          <w:p>
            <w:pPr>
              <w:pStyle w:val="Compact"/>
              <w:jc w:val="left"/>
            </w:pPr>
            <w:r>
              <w:t xml:space="preserve">1,100,000</w:t>
            </w:r>
          </w:p>
        </w:tc>
        <w:tc>
          <w:tcPr/>
          <w:p>
            <w:pPr>
              <w:pStyle w:val="Compact"/>
              <w:jc w:val="left"/>
            </w:pPr>
            <w:r>
              <w:t xml:space="preserve">24</w:t>
            </w:r>
          </w:p>
        </w:tc>
        <w:tc>
          <w:tcPr/>
          <w:p>
            <w:pPr>
              <w:pStyle w:val="Compact"/>
              <w:jc w:val="left"/>
            </w:pPr>
            <w:r>
              <w:t xml:space="preserve">1</w:t>
            </w:r>
          </w:p>
        </w:tc>
        <w:tc>
          <w:tcPr/>
          <w:p>
            <w:pPr>
              <w:pStyle w:val="Compact"/>
              <w:jc w:val="left"/>
            </w:pPr>
            <w:r>
              <w:t xml:space="preserve">26,400,000</w:t>
            </w:r>
          </w:p>
        </w:tc>
      </w:tr>
      <w:tr>
        <w:tc>
          <w:tcPr/>
          <w:p>
            <w:pPr>
              <w:pStyle w:val="Compact"/>
              <w:jc w:val="left"/>
            </w:pPr>
            <w:r>
              <w:t xml:space="preserve">4</w:t>
            </w:r>
          </w:p>
        </w:tc>
        <w:tc>
          <w:tcPr/>
          <w:p>
            <w:pPr>
              <w:pStyle w:val="Compact"/>
              <w:jc w:val="left"/>
            </w:pPr>
            <w:r>
              <w:t xml:space="preserve">Financial Analyst – Investment Portfolio Performance Benchmarking &amp; Market Analysis (IDX Focus)</w:t>
            </w:r>
          </w:p>
        </w:tc>
        <w:tc>
          <w:tcPr/>
          <w:p>
            <w:pPr>
              <w:pStyle w:val="Compact"/>
              <w:jc w:val="left"/>
            </w:pPr>
            <w:r>
              <w:t xml:space="preserve">1,050,000</w:t>
            </w:r>
          </w:p>
        </w:tc>
        <w:tc>
          <w:tcPr/>
          <w:p>
            <w:pPr>
              <w:pStyle w:val="Compact"/>
              <w:jc w:val="left"/>
            </w:pPr>
            <w:r>
              <w:t xml:space="preserve">20</w:t>
            </w:r>
          </w:p>
        </w:tc>
        <w:tc>
          <w:tcPr/>
          <w:p>
            <w:pPr>
              <w:pStyle w:val="Compact"/>
              <w:jc w:val="left"/>
            </w:pPr>
            <w:r>
              <w:t xml:space="preserve">1</w:t>
            </w:r>
          </w:p>
        </w:tc>
        <w:tc>
          <w:tcPr/>
          <w:p>
            <w:pPr>
              <w:pStyle w:val="Compact"/>
              <w:jc w:val="left"/>
            </w:pPr>
            <w:r>
              <w:t xml:space="preserve">21,000,000</w:t>
            </w:r>
          </w:p>
        </w:tc>
      </w:tr>
      <w:tr>
        <w:tc>
          <w:tcPr/>
          <w:p>
            <w:pPr>
              <w:pStyle w:val="Compact"/>
              <w:jc w:val="left"/>
            </w:pPr>
            <w:r>
              <w:t xml:space="preserve">5</w:t>
            </w:r>
          </w:p>
        </w:tc>
        <w:tc>
          <w:tcPr/>
          <w:p>
            <w:pPr>
              <w:pStyle w:val="Compact"/>
              <w:jc w:val="left"/>
            </w:pPr>
            <w:r>
              <w:t xml:space="preserve">Financial Analyst – Board Presentation Preparation &amp; Executive Summary Documentation</w:t>
            </w:r>
          </w:p>
        </w:tc>
        <w:tc>
          <w:tcPr/>
          <w:p>
            <w:pPr>
              <w:pStyle w:val="Compact"/>
              <w:jc w:val="left"/>
            </w:pPr>
            <w:r>
              <w:t xml:space="preserve">1,300,000</w:t>
            </w:r>
          </w:p>
        </w:tc>
        <w:tc>
          <w:tcPr/>
          <w:p>
            <w:pPr>
              <w:pStyle w:val="Compact"/>
              <w:jc w:val="left"/>
            </w:pPr>
            <w:r>
              <w:t xml:space="preserve">12</w:t>
            </w:r>
          </w:p>
        </w:tc>
        <w:tc>
          <w:tcPr/>
          <w:p>
            <w:pPr>
              <w:pStyle w:val="Compact"/>
              <w:jc w:val="left"/>
            </w:pPr>
            <w:r>
              <w:t xml:space="preserve">1</w:t>
            </w:r>
          </w:p>
        </w:tc>
        <w:tc>
          <w:tcPr/>
          <w:p>
            <w:pPr>
              <w:pStyle w:val="Compact"/>
              <w:jc w:val="left"/>
            </w:pPr>
            <w:r>
              <w:t xml:space="preserve">15,600,000</w:t>
            </w:r>
          </w:p>
        </w:tc>
      </w:tr>
      <w:tr>
        <w:tc>
          <w:tcPr/>
          <w:p>
            <w:pPr>
              <w:pStyle w:val="Compact"/>
              <w:jc w:val="left"/>
            </w:pPr>
            <w:r>
              <w:t xml:space="preserve">6</w:t>
            </w:r>
          </w:p>
        </w:tc>
        <w:tc>
          <w:tcPr/>
          <w:p>
            <w:pPr>
              <w:pStyle w:val="Compact"/>
              <w:jc w:val="left"/>
            </w:pPr>
            <w:r>
              <w:t xml:space="preserve">Financial Analyst – Data Modeling &amp; Financial Dashboard Development (Power BI)</w:t>
            </w:r>
          </w:p>
        </w:tc>
        <w:tc>
          <w:tcPr/>
          <w:p>
            <w:pPr>
              <w:pStyle w:val="Compact"/>
              <w:jc w:val="left"/>
            </w:pPr>
            <w:r>
              <w:t xml:space="preserve">850,000</w:t>
            </w:r>
          </w:p>
        </w:tc>
        <w:tc>
          <w:tcPr/>
          <w:p>
            <w:pPr>
              <w:pStyle w:val="Compact"/>
              <w:jc w:val="left"/>
            </w:pPr>
            <w:r>
              <w:t xml:space="preserve">28</w:t>
            </w:r>
          </w:p>
        </w:tc>
        <w:tc>
          <w:tcPr/>
          <w:p>
            <w:pPr>
              <w:pStyle w:val="Compact"/>
              <w:jc w:val="left"/>
            </w:pPr>
            <w:r>
              <w:t xml:space="preserve">1</w:t>
            </w:r>
          </w:p>
        </w:tc>
        <w:tc>
          <w:tcPr/>
          <w:p>
            <w:pPr>
              <w:pStyle w:val="Compact"/>
              <w:jc w:val="left"/>
            </w:pPr>
            <w:r>
              <w:t xml:space="preserve">23,800,000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167,200,000</w:t>
            </w:r>
          </w:p>
        </w:tc>
      </w:tr>
      <w:tr>
        <w:tc>
          <w:tcPr/>
          <w:p>
            <w:pPr>
              <w:pStyle w:val="Compact"/>
              <w:jc w:val="left"/>
            </w:pPr>
            <w:r>
              <w:t xml:space="preserve">PPN (11% VAT – Indonesia)</w:t>
            </w:r>
          </w:p>
        </w:tc>
        <w:tc>
          <w:tcPr/>
          <w:p>
            <w:pPr>
              <w:pStyle w:val="Compact"/>
              <w:jc w:val="left"/>
            </w:pPr>
            <w:r>
              <w:t xml:space="preserve">IDR 18,392,000</w:t>
            </w:r>
          </w:p>
        </w:tc>
      </w:tr>
      <w:tr>
        <w:tc>
          <w:tcPr/>
          <w:p>
            <w:pPr>
              <w:pStyle w:val="Compact"/>
              <w:jc w:val="left"/>
            </w:pPr>
            <w:r>
              <w:t xml:space="preserve">Withholding Tax (PPh 23 – 2%)</w:t>
            </w:r>
          </w:p>
        </w:tc>
        <w:tc>
          <w:tcPr/>
          <w:p>
            <w:pPr>
              <w:pStyle w:val="Compact"/>
              <w:jc w:val="left"/>
            </w:pPr>
            <w:r>
              <w:t xml:space="preserve">- IDR 3,344,000</w:t>
            </w:r>
          </w:p>
        </w:tc>
      </w:tr>
      <w:tr>
        <w:tc>
          <w:tcPr/>
          <w:p>
            <w:pPr>
              <w:pStyle w:val="Compact"/>
              <w:jc w:val="left"/>
            </w:pPr>
            <w:r>
              <w:t xml:space="preserve">GRAND TOTAL</w:t>
            </w:r>
          </w:p>
        </w:tc>
        <w:tc>
          <w:tcPr/>
          <w:p>
            <w:pPr>
              <w:pStyle w:val="Compact"/>
              <w:jc w:val="left"/>
            </w:pPr>
            <w:r>
              <w:t xml:space="preserve">IDR 182,248,000</w:t>
            </w:r>
          </w:p>
        </w:tc>
      </w:tr>
    </w:tbl>
    <w:bookmarkStart w:id="24" w:name="invoice-notes-terms"/>
    <w:p>
      <w:pPr>
        <w:pStyle w:val="Heading3"/>
      </w:pPr>
      <w:r>
        <w:t xml:space="preserve">Invoice Notes &amp; Terms</w:t>
      </w:r>
    </w:p>
    <w:p>
      <w:pPr>
        <w:numPr>
          <w:ilvl w:val="0"/>
          <w:numId w:val="1001"/>
        </w:numPr>
        <w:pStyle w:val="Compact"/>
      </w:pPr>
      <w:r>
        <w:t xml:space="preserve">This Invoice is issued by PT Nusantara Financial Advisory, a registered professional services firm headquartered in Indonesia Jakarta, providing specialized Financial Analyst consulting to corporate clients across the Greater Jakarta metropolitan area.</w:t>
      </w:r>
    </w:p>
    <w:p>
      <w:pPr>
        <w:numPr>
          <w:ilvl w:val="0"/>
          <w:numId w:val="1001"/>
        </w:numPr>
        <w:pStyle w:val="Compact"/>
      </w:pPr>
      <w:r>
        <w:t xml:space="preserve">Payment is due within fourteen (14) calendar days from the Invoice date. Late payments shall incur a penalty of 2% per month as stipulated under Indonesian commercial law.</w:t>
      </w:r>
    </w:p>
    <w:p>
      <w:pPr>
        <w:numPr>
          <w:ilvl w:val="0"/>
          <w:numId w:val="1001"/>
        </w:numPr>
        <w:pStyle w:val="Compact"/>
      </w:pPr>
      <w:r>
        <w:t xml:space="preserve">All Financial Analyst services rendered under this Invoice have been performed in accordance with the Indonesian Financial Reporting Standards (SAK) and the regulatory guidelines issued by the Financial Services Authority (OJK) of Indonesia Jakarta.</w:t>
      </w:r>
    </w:p>
    <w:p>
      <w:pPr>
        <w:numPr>
          <w:ilvl w:val="0"/>
          <w:numId w:val="1001"/>
        </w:numPr>
        <w:pStyle w:val="Compact"/>
      </w:pPr>
      <w:r>
        <w:t xml:space="preserve">The PPN (Value Added Tax) of 11% is applied in compliance with the latest tax regulations of the Republic of Indonesia. The PPh 23 withholding tax has been deducted at source as required by Indonesian tax law.</w:t>
      </w:r>
    </w:p>
    <w:p>
      <w:pPr>
        <w:numPr>
          <w:ilvl w:val="0"/>
          <w:numId w:val="1001"/>
        </w:numPr>
        <w:pStyle w:val="Compact"/>
      </w:pPr>
      <w:r>
        <w:t xml:space="preserve">This Invoice is valid for a period of ninety (90) days from the date of issue. Please reference Invoice No. INV/2025/JKT/04782 in all correspondence and payment transactions.</w:t>
      </w:r>
    </w:p>
    <w:p>
      <w:pPr>
        <w:numPr>
          <w:ilvl w:val="0"/>
          <w:numId w:val="1001"/>
        </w:numPr>
        <w:pStyle w:val="Compact"/>
      </w:pPr>
      <w:r>
        <w:t xml:space="preserve">All deliverables, including but not limited to financial models, analytical reports, and dashboard outputs produced by our Financial Analyst team, remain the intellectual property of PT Nusantara Financial Advisory until full payment of this Invoice is received.</w:t>
      </w:r>
    </w:p>
    <w:p>
      <w:pPr>
        <w:numPr>
          <w:ilvl w:val="0"/>
          <w:numId w:val="1001"/>
        </w:numPr>
        <w:pStyle w:val="Compact"/>
      </w:pPr>
      <w:r>
        <w:t xml:space="preserve">For any disputes regarding this Invoice, both parties agree to resolve matters through mediation in Indonesia Jakarta before proceeding to arbitration under the rules of the Indonesian National Board of Arbitration (BANI).</w:t>
      </w:r>
    </w:p>
    <w:bookmarkEnd w:id="24"/>
    <w:bookmarkStart w:id="25" w:name="bank-transfer-details"/>
    <w:p>
      <w:pPr>
        <w:pStyle w:val="Heading3"/>
      </w:pPr>
      <w:r>
        <w:t xml:space="preserve">Bank Transfer Details</w:t>
      </w:r>
    </w:p>
    <w:p>
      <w:pPr>
        <w:pStyle w:val="FirstParagraph"/>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Nusantara Financial Advisory</w:t>
      </w:r>
    </w:p>
    <w:p>
      <w:pPr>
        <w:pStyle w:val="BodyText"/>
      </w:pPr>
      <w:r>
        <w:rPr>
          <w:bCs/>
          <w:b/>
        </w:rPr>
        <w:t xml:space="preserve">Account No:</w:t>
      </w:r>
      <w:r>
        <w:t xml:space="preserve"> </w:t>
      </w:r>
      <w:r>
        <w:t xml:space="preserve">702-3456-789-01</w:t>
      </w:r>
    </w:p>
    <w:p>
      <w:pPr>
        <w:pStyle w:val="BodyText"/>
      </w:pPr>
      <w:r>
        <w:rPr>
          <w:bCs/>
          <w:b/>
        </w:rPr>
        <w:t xml:space="preserve">SWIFT Code:</w:t>
      </w:r>
      <w:r>
        <w:t xml:space="preserve"> </w:t>
      </w:r>
      <w:r>
        <w:t xml:space="preserve">CBAAINJA</w:t>
      </w:r>
    </w:p>
    <w:p>
      <w:pPr>
        <w:pStyle w:val="BodyText"/>
      </w:pPr>
      <w:r>
        <w:rPr>
          <w:bCs/>
          <w:b/>
        </w:rPr>
        <w:t xml:space="preserve">Branch:</w:t>
      </w:r>
      <w:r>
        <w:t xml:space="preserve"> </w:t>
      </w:r>
      <w:r>
        <w:t xml:space="preserve">Indonesia Jakarta – Sudirman</w:t>
      </w:r>
    </w:p>
    <w:bookmarkEnd w:id="25"/>
    <w:bookmarkStart w:id="26" w:name="payment-reference"/>
    <w:p>
      <w:pPr>
        <w:pStyle w:val="Heading3"/>
      </w:pPr>
      <w:r>
        <w:t xml:space="preserve">Payment Reference</w:t>
      </w:r>
    </w:p>
    <w:p>
      <w:pPr>
        <w:pStyle w:val="FirstParagraph"/>
      </w:pPr>
      <w:r>
        <w:t xml:space="preserve">Please use the following reference when making payment:</w:t>
      </w:r>
    </w:p>
    <w:p>
      <w:pPr>
        <w:pStyle w:val="BodyText"/>
      </w:pPr>
      <w:r>
        <w:rPr>
          <w:bCs/>
          <w:b/>
        </w:rPr>
        <w:t xml:space="preserve">Ref:</w:t>
      </w:r>
      <w:r>
        <w:t xml:space="preserve"> </w:t>
      </w:r>
      <w:r>
        <w:t xml:space="preserve">INV/2025/JKT/04782</w:t>
      </w:r>
    </w:p>
    <w:p>
      <w:pPr>
        <w:pStyle w:val="BodyText"/>
      </w:pPr>
      <w:r>
        <w:rPr>
          <w:bCs/>
          <w:b/>
        </w:rPr>
        <w:t xml:space="preserve">Client Code:</w:t>
      </w:r>
      <w:r>
        <w:t xml:space="preserve"> </w:t>
      </w:r>
      <w:r>
        <w:t xml:space="preserve">AMG-2025-0034</w:t>
      </w:r>
    </w:p>
    <w:p>
      <w:pPr>
        <w:pStyle w:val="BodyText"/>
      </w:pPr>
      <w:r>
        <w:rPr>
          <w:bCs/>
          <w:b/>
        </w:rPr>
        <w:t xml:space="preserve">Project Code:</w:t>
      </w:r>
      <w:r>
        <w:t xml:space="preserve"> </w:t>
      </w:r>
      <w:r>
        <w:t xml:space="preserve">FPA-Q2-2025</w:t>
      </w:r>
    </w:p>
    <w:p>
      <w:pPr>
        <w:pStyle w:val="BodyText"/>
      </w:pPr>
      <w:r>
        <w:rPr>
          <w:bCs/>
          <w:b/>
        </w:rPr>
        <w:t xml:space="preserve">Amount Due:</w:t>
      </w:r>
      <w:r>
        <w:t xml:space="preserve"> </w:t>
      </w:r>
      <w:r>
        <w:t xml:space="preserve">IDR 182,248,000</w:t>
      </w:r>
    </w:p>
    <w:bookmarkEnd w:id="26"/>
    <w:p>
      <w:pPr>
        <w:pStyle w:val="BodyText"/>
      </w:pPr>
      <w:r>
        <w:t xml:space="preserve">Prepared by: Rina Wijaya, CPA</w:t>
      </w:r>
      <w:r>
        <w:br/>
      </w:r>
      <w:r>
        <w:t xml:space="preserve">Financial Analyst Lead</w:t>
      </w:r>
    </w:p>
    <w:p>
      <w:pPr>
        <w:pStyle w:val="BodyText"/>
      </w:pPr>
      <w:r>
        <w:t xml:space="preserve">Approved by: Dr. Hendra Prasetyo</w:t>
      </w:r>
      <w:r>
        <w:br/>
      </w:r>
      <w:r>
        <w:t xml:space="preserve">Managing Director</w:t>
      </w:r>
    </w:p>
    <w:p>
      <w:pPr>
        <w:pStyle w:val="BodyText"/>
      </w:pPr>
      <w:r>
        <w:t xml:space="preserve">PT Nusantara Financial Advisory | Jl. Jend. Sudirman Kav. 52-53, Menara Astra Lt. 21, Setiabudi, Indonesia Jakarta 12190</w:t>
      </w:r>
    </w:p>
    <w:p>
      <w:pPr>
        <w:pStyle w:val="BodyText"/>
      </w:pPr>
      <w:r>
        <w:t xml:space="preserve">This Invoice was generated electronically and is valid without a physical stamp or signature in accordance with Indonesian Electronic Transaction Law (UU ITE No. 11/2008).</w:t>
      </w:r>
    </w:p>
    <w:p>
      <w:pPr>
        <w:pStyle w:val="BodyText"/>
      </w:pPr>
      <w:r>
        <w:t xml:space="preserve">Thank you for engaging our Financial Analyst team. We look forward to continuing our professional partnership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Indonesia Jakarta</dc:title>
  <dc:creator/>
  <dc:language>en</dc:language>
  <cp:keywords/>
  <dcterms:created xsi:type="dcterms:W3CDTF">2026-10-10T09:17:35Z</dcterms:created>
  <dcterms:modified xsi:type="dcterms:W3CDTF">2026-10-10T09:17:35Z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