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meridian-financial-advisory-group"/>
    <w:p>
      <w:pPr>
        <w:pStyle w:val="Heading1"/>
      </w:pPr>
      <w:r>
        <w:t xml:space="preserve">Meridian Financial Advisory Group</w:t>
      </w:r>
    </w:p>
    <w:p>
      <w:pPr>
        <w:pStyle w:val="FirstParagraph"/>
      </w:pPr>
      <w:r>
        <w:t xml:space="preserve">Office 12, 4th Floor, Vali-e-Asr Street, Niavaran District</w:t>
      </w:r>
    </w:p>
    <w:p>
      <w:pPr>
        <w:pStyle w:val="BodyText"/>
      </w:pPr>
      <w:r>
        <w:t xml:space="preserve">Tehran, Iran | Postal Code: 14155-3782</w:t>
      </w:r>
    </w:p>
    <w:p>
      <w:pPr>
        <w:pStyle w:val="BodyText"/>
      </w:pPr>
      <w:r>
        <w:t xml:space="preserve">Tel: +98-21-8876-5432 | Email: billing@meridianfa.ir</w:t>
      </w:r>
    </w:p>
    <w:p>
      <w:pPr>
        <w:pStyle w:val="BodyText"/>
      </w:pPr>
      <w:r>
        <w:t xml:space="preserve">Commercial Registration No. 10482937 | Tax Code: 0098452176</w:t>
      </w:r>
    </w:p>
    <w:p>
      <w:pPr>
        <w:pStyle w:val="BodyText"/>
      </w:pPr>
      <w:r>
        <w:t xml:space="preserve">Certified Financial Analyst Firm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MFA-2025-04871</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Iranian Rial (IRR)</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Kish Industrial Development Co.</w:t>
      </w:r>
    </w:p>
    <w:p>
      <w:pPr>
        <w:pStyle w:val="BodyText"/>
      </w:pPr>
      <w:r>
        <w:rPr>
          <w:bCs/>
          <w:b/>
        </w:rPr>
        <w:t xml:space="preserve">Attn:</w:t>
      </w:r>
      <w:r>
        <w:t xml:space="preserve"> </w:t>
      </w:r>
      <w:r>
        <w:t xml:space="preserve">Mr. Reza Ahmadi, Chief Financial Officer</w:t>
      </w:r>
    </w:p>
    <w:p>
      <w:pPr>
        <w:pStyle w:val="BodyText"/>
      </w:pPr>
      <w:r>
        <w:rPr>
          <w:bCs/>
          <w:b/>
        </w:rPr>
        <w:t xml:space="preserve">Address:</w:t>
      </w:r>
      <w:r>
        <w:t xml:space="preserve"> </w:t>
      </w:r>
      <w:r>
        <w:t xml:space="preserve">88 Enghelab Avenue, Vanak Square</w:t>
      </w:r>
    </w:p>
    <w:p>
      <w:pPr>
        <w:pStyle w:val="BodyText"/>
      </w:pPr>
      <w:r>
        <w:t xml:space="preserve">Tehran, Iran | Postal Code: 14187-4521</w:t>
      </w:r>
    </w:p>
    <w:p>
      <w:pPr>
        <w:pStyle w:val="BodyText"/>
      </w:pPr>
      <w:r>
        <w:rPr>
          <w:bCs/>
          <w:b/>
        </w:rPr>
        <w:t xml:space="preserve">Tax Code:</w:t>
      </w:r>
      <w:r>
        <w:t xml:space="preserve"> </w:t>
      </w:r>
      <w:r>
        <w:t xml:space="preserve">0087321459</w:t>
      </w:r>
    </w:p>
    <w:p>
      <w:pPr>
        <w:pStyle w:val="BodyText"/>
      </w:pPr>
      <w:r>
        <w:rPr>
          <w:bCs/>
          <w:b/>
        </w:rPr>
        <w:t xml:space="preserve">Phone:</w:t>
      </w:r>
      <w:r>
        <w:t xml:space="preserve"> </w:t>
      </w:r>
      <w:r>
        <w:t xml:space="preserve">+98-21-2245-6789</w:t>
      </w:r>
    </w:p>
    <w:bookmarkEnd w:id="22"/>
    <w:bookmarkStart w:id="23" w:name="service-provider"/>
    <w:p>
      <w:pPr>
        <w:pStyle w:val="Heading3"/>
      </w:pPr>
      <w:r>
        <w:t xml:space="preserve">Service Provider</w:t>
      </w:r>
    </w:p>
    <w:p>
      <w:pPr>
        <w:pStyle w:val="FirstParagraph"/>
      </w:pPr>
      <w:r>
        <w:rPr>
          <w:bCs/>
          <w:b/>
        </w:rPr>
        <w:t xml:space="preserve">Lead Financial Analyst:</w:t>
      </w:r>
      <w:r>
        <w:t xml:space="preserve"> </w:t>
      </w:r>
      <w:r>
        <w:t xml:space="preserve">Dr. Maryam Karimi, CFA</w:t>
      </w:r>
    </w:p>
    <w:p>
      <w:pPr>
        <w:pStyle w:val="BodyText"/>
      </w:pPr>
      <w:r>
        <w:rPr>
          <w:bCs/>
          <w:b/>
        </w:rPr>
        <w:t xml:space="preserve">Supporting Analyst:</w:t>
      </w:r>
      <w:r>
        <w:t xml:space="preserve"> </w:t>
      </w:r>
      <w:r>
        <w:t xml:space="preserve">Mr. Amir Hosseini, MSc Finance</w:t>
      </w:r>
    </w:p>
    <w:p>
      <w:pPr>
        <w:pStyle w:val="BodyText"/>
      </w:pPr>
      <w:r>
        <w:rPr>
          <w:bCs/>
          <w:b/>
        </w:rPr>
        <w:t xml:space="preserve">Department:</w:t>
      </w:r>
      <w:r>
        <w:t xml:space="preserve"> </w:t>
      </w:r>
      <w:r>
        <w:t xml:space="preserve">Corporate Financial Advisory</w:t>
      </w:r>
    </w:p>
    <w:p>
      <w:pPr>
        <w:pStyle w:val="BodyText"/>
      </w:pPr>
      <w:r>
        <w:rPr>
          <w:bCs/>
          <w:b/>
        </w:rPr>
        <w:t xml:space="preserve">Location:</w:t>
      </w:r>
      <w:r>
        <w:t xml:space="preserve"> </w:t>
      </w:r>
      <w:r>
        <w:t xml:space="preserve">Tehran, Iran</w:t>
      </w:r>
    </w:p>
    <w:p>
      <w:pPr>
        <w:pStyle w:val="BodyText"/>
      </w:pPr>
      <w:r>
        <w:rPr>
          <w:bCs/>
          <w:b/>
        </w:rPr>
        <w:t xml:space="preserve">Engagement Ref:</w:t>
      </w:r>
      <w:r>
        <w:t xml:space="preserve"> </w:t>
      </w:r>
      <w:r>
        <w:t xml:space="preserve">EGA-2025-0034</w:t>
      </w:r>
    </w:p>
    <w:p>
      <w:pPr>
        <w:pStyle w:val="BodyText"/>
      </w:pPr>
      <w:r>
        <w:rPr>
          <w:bCs/>
          <w:b/>
        </w:rPr>
        <w:t xml:space="preserve">Contract Period:</w:t>
      </w:r>
      <w:r>
        <w:t xml:space="preserve"> </w:t>
      </w:r>
      <w:r>
        <w:t xml:space="preserve">Q1 1404 (Farvardin–Khordad)</w:t>
      </w:r>
    </w:p>
    <w:bookmarkEnd w:id="23"/>
    <w:bookmarkStart w:id="24" w:name="X2d1839d79735f07ceb0b6c413a5772c1ab95d4e"/>
    <w:p>
      <w:pPr>
        <w:pStyle w:val="Heading3"/>
      </w:pPr>
      <w:r>
        <w:t xml:space="preserve">Financial Analyst Services Rendered – Tehran, Iran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w:t>
            </w:r>
          </w:p>
        </w:tc>
        <w:tc>
          <w:tcPr/>
          <w:p>
            <w:pPr>
              <w:pStyle w:val="Compact"/>
              <w:jc w:val="left"/>
            </w:pPr>
            <w:r>
              <w:t xml:space="preserve">Period / Deliverable</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Comprehensive quarterly financial statement analysis and ratio benchmarking for Kish Industrial Development Co., conducted by a senior Financial Analyst in Tehran</w:t>
            </w:r>
          </w:p>
        </w:tc>
        <w:tc>
          <w:tcPr/>
          <w:p>
            <w:pPr>
              <w:pStyle w:val="Compact"/>
              <w:jc w:val="left"/>
            </w:pPr>
            <w:r>
              <w:t xml:space="preserve">Q1 1404 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Capital structure optimization and debt-to-equity modeling performed by the Financial Analyst team at our Tehran office</w:t>
            </w:r>
          </w:p>
        </w:tc>
        <w:tc>
          <w:tcPr/>
          <w:p>
            <w:pPr>
              <w:pStyle w:val="Compact"/>
              <w:jc w:val="left"/>
            </w:pPr>
            <w:r>
              <w:t xml:space="preserve">20 Hours</w:t>
            </w:r>
          </w:p>
        </w:tc>
        <w:tc>
          <w:tcPr/>
          <w:p>
            <w:pPr>
              <w:pStyle w:val="Compact"/>
              <w:jc w:val="left"/>
            </w:pPr>
            <w:r>
              <w:t xml:space="preserve">2,800,000</w:t>
            </w:r>
          </w:p>
        </w:tc>
        <w:tc>
          <w:tcPr/>
          <w:p>
            <w:pPr>
              <w:pStyle w:val="Compact"/>
              <w:jc w:val="left"/>
            </w:pPr>
            <w:r>
              <w:t xml:space="preserve">56,000,000</w:t>
            </w:r>
          </w:p>
        </w:tc>
      </w:tr>
      <w:tr>
        <w:tc>
          <w:tcPr/>
          <w:p>
            <w:pPr>
              <w:pStyle w:val="Compact"/>
              <w:jc w:val="left"/>
            </w:pPr>
            <w:r>
              <w:t xml:space="preserve">3</w:t>
            </w:r>
          </w:p>
        </w:tc>
        <w:tc>
          <w:tcPr/>
          <w:p>
            <w:pPr>
              <w:pStyle w:val="Compact"/>
              <w:jc w:val="left"/>
            </w:pPr>
            <w:r>
              <w:t xml:space="preserve">Cash flow forecasting and liquidity risk assessment for the next 12 months, prepared by the lead Financial Analyst</w:t>
            </w:r>
          </w:p>
        </w:tc>
        <w:tc>
          <w:tcPr/>
          <w:p>
            <w:pPr>
              <w:pStyle w:val="Compact"/>
              <w:jc w:val="left"/>
            </w:pPr>
            <w:r>
              <w:t xml:space="preserve">12-Month Model</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Market intelligence and competitor financial performance review within the Tehran industrial sector</w:t>
            </w:r>
          </w:p>
        </w:tc>
        <w:tc>
          <w:tcPr/>
          <w:p>
            <w:pPr>
              <w:pStyle w:val="Compact"/>
              <w:jc w:val="left"/>
            </w:pPr>
            <w:r>
              <w:t xml:space="preserve">Monthly (×3)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Board presentation preparation and executive financial briefing delivered by the Financial Analyst to the Tehran-based board of directors</w:t>
            </w:r>
          </w:p>
        </w:tc>
        <w:tc>
          <w:tcPr/>
          <w:p>
            <w:pPr>
              <w:pStyle w:val="Compact"/>
              <w:jc w:val="left"/>
            </w:pPr>
            <w:r>
              <w:t xml:space="preserve">2 Sessions</w:t>
            </w:r>
          </w:p>
        </w:tc>
        <w:tc>
          <w:tcPr/>
          <w:p>
            <w:pPr>
              <w:pStyle w:val="Compact"/>
              <w:jc w:val="left"/>
            </w:pPr>
            <w:r>
              <w:t xml:space="preserve">18,000,000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Regulatory compliance review aligned with Iranian Securities and Exchange Organization (TSE) guidelines, conducted by the Financial Analyst</w:t>
            </w:r>
          </w:p>
        </w:tc>
        <w:tc>
          <w:tcPr/>
          <w:p>
            <w:pPr>
              <w:pStyle w:val="Compact"/>
              <w:jc w:val="left"/>
            </w:pPr>
            <w:r>
              <w:t xml:space="preserve">Q1 1404</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233,000,000 IRR</w:t>
            </w:r>
          </w:p>
        </w:tc>
      </w:tr>
      <w:tr>
        <w:tc>
          <w:tcPr/>
          <w:p>
            <w:pPr>
              <w:pStyle w:val="Compact"/>
              <w:jc w:val="left"/>
            </w:pPr>
            <w:r>
              <w:t xml:space="preserve">VAT (9% – Iranian Value Added Tax)</w:t>
            </w:r>
          </w:p>
        </w:tc>
        <w:tc>
          <w:tcPr/>
          <w:p>
            <w:pPr>
              <w:pStyle w:val="Compact"/>
              <w:jc w:val="left"/>
            </w:pPr>
            <w:r>
              <w:t xml:space="preserve">20,970,000 IRR</w:t>
            </w:r>
          </w:p>
        </w:tc>
      </w:tr>
      <w:tr>
        <w:tc>
          <w:tcPr/>
          <w:p>
            <w:pPr>
              <w:pStyle w:val="Compact"/>
              <w:jc w:val="left"/>
            </w:pPr>
            <w:r>
              <w:t xml:space="preserve">Withholding Tax (5% – per Iranian Tax Law)</w:t>
            </w:r>
          </w:p>
        </w:tc>
        <w:tc>
          <w:tcPr/>
          <w:p>
            <w:pPr>
              <w:pStyle w:val="Compact"/>
              <w:jc w:val="left"/>
            </w:pPr>
            <w:r>
              <w:t xml:space="preserve">(11,650,000) IRR</w:t>
            </w:r>
          </w:p>
        </w:tc>
      </w:tr>
      <w:tr>
        <w:tc>
          <w:tcPr/>
          <w:p>
            <w:pPr>
              <w:pStyle w:val="Compact"/>
              <w:jc w:val="left"/>
            </w:pPr>
            <w:r>
              <w:t xml:space="preserve">Net Amount Due</w:t>
            </w:r>
          </w:p>
        </w:tc>
        <w:tc>
          <w:tcPr/>
          <w:p>
            <w:pPr>
              <w:pStyle w:val="Compact"/>
              <w:jc w:val="left"/>
            </w:pPr>
            <w:r>
              <w:t xml:space="preserve">242,320,000 IRR</w:t>
            </w:r>
          </w:p>
        </w:tc>
      </w:tr>
    </w:tbl>
    <w:bookmarkEnd w:id="24"/>
    <w:bookmarkStart w:id="25" w:name="invoice-notes-payment-instructions"/>
    <w:p>
      <w:pPr>
        <w:pStyle w:val="Heading3"/>
      </w:pPr>
      <w:r>
        <w:t xml:space="preserve">Invoice Notes &amp; Payment Instructions</w:t>
      </w:r>
    </w:p>
    <w:p>
      <w:pPr>
        <w:numPr>
          <w:ilvl w:val="0"/>
          <w:numId w:val="1001"/>
        </w:numPr>
        <w:pStyle w:val="Compact"/>
      </w:pPr>
      <w:r>
        <w:t xml:space="preserve">This Invoice is issued in accordance with the Iranian Accounting Standards and the regulations of the Iranian Accounting Organization (IAO) for professional services rendered in Tehran, Iran.</w:t>
      </w:r>
    </w:p>
    <w:p>
      <w:pPr>
        <w:numPr>
          <w:ilvl w:val="0"/>
          <w:numId w:val="1001"/>
        </w:numPr>
        <w:pStyle w:val="Compact"/>
      </w:pPr>
      <w:r>
        <w:t xml:space="preserve">Payment shall be made via bank transfer to: Bank Melli Iran, Branch: Niavaran, Tehran. Account Name: Meridian Financial Advisory Group. IBAN: IR60 MELL 0001 2345 6789 0123 4567 8901.</w:t>
      </w:r>
    </w:p>
    <w:p>
      <w:pPr>
        <w:numPr>
          <w:ilvl w:val="0"/>
          <w:numId w:val="1001"/>
        </w:numPr>
        <w:pStyle w:val="Compact"/>
      </w:pPr>
      <w:r>
        <w:t xml:space="preserve">The Financial Analyst services described in this Invoice were performed at our registered office in Tehran, Iran, and at the client's premises in Vanak, Tehran, as per the engagement letter dated 1 Farvardin 1404.</w:t>
      </w:r>
    </w:p>
    <w:p>
      <w:pPr>
        <w:numPr>
          <w:ilvl w:val="0"/>
          <w:numId w:val="1001"/>
        </w:numPr>
        <w:pStyle w:val="Compact"/>
      </w:pPr>
      <w:r>
        <w:t xml:space="preserve">All figures are stated in Iranian Rial (IRR). In the event of significant currency fluctuation, the parties may renegotiate rates as stipulated in the master service agreement.</w:t>
      </w:r>
    </w:p>
    <w:p>
      <w:pPr>
        <w:numPr>
          <w:ilvl w:val="0"/>
          <w:numId w:val="1001"/>
        </w:numPr>
        <w:pStyle w:val="Compact"/>
      </w:pPr>
      <w:r>
        <w:t xml:space="preserve">This Invoice must be presented to the client's accounting department within 15 calendar days of the issue date for processing. Late payments beyond the due date will incur a penalty of 0.5% per day as per Iranian commercial law.</w:t>
      </w:r>
    </w:p>
    <w:bookmarkEnd w:id="25"/>
    <w:bookmarkStart w:id="26" w:name="X26068bb47727a113fc91847bd51e9c9acf9c36f"/>
    <w:p>
      <w:pPr>
        <w:pStyle w:val="Heading3"/>
      </w:pPr>
      <w:r>
        <w:t xml:space="preserve">Terms and Conditions – Financial Analyst Engagement in Tehran, Iran</w:t>
      </w:r>
    </w:p>
    <w:p>
      <w:pPr>
        <w:numPr>
          <w:ilvl w:val="0"/>
          <w:numId w:val="1002"/>
        </w:numPr>
        <w:pStyle w:val="Compact"/>
      </w:pPr>
      <w:r>
        <w:t xml:space="preserve">This Invoice constitutes a formal request for payment for Financial Analyst professional services rendered by Meridian Financial Advisory Group, a registered firm operating in Tehran, Iran. The Invoice is valid for 30 days from the issue date.</w:t>
      </w:r>
    </w:p>
    <w:p>
      <w:pPr>
        <w:numPr>
          <w:ilvl w:val="0"/>
          <w:numId w:val="1002"/>
        </w:numPr>
        <w:pStyle w:val="Compact"/>
      </w:pPr>
      <w:r>
        <w:t xml:space="preserve">All Financial Analyst deliverables, including but not limited to financial models, analytical reports, and board presentations, remain the intellectual property of the client upon full settlement of this Invoice.</w:t>
      </w:r>
    </w:p>
    <w:p>
      <w:pPr>
        <w:numPr>
          <w:ilvl w:val="0"/>
          <w:numId w:val="1002"/>
        </w:numPr>
        <w:pStyle w:val="Compact"/>
      </w:pPr>
      <w:r>
        <w:t xml:space="preserve">The Financial Analyst team shall maintain strict confidentiality of all financial data, proprietary information, and trade secrets of the client in accordance with Iranian data protection regulations and the terms of the Non-Disclosure Agreement (NDA) executed on 1 Farvardin 1404.</w:t>
      </w:r>
    </w:p>
    <w:p>
      <w:pPr>
        <w:numPr>
          <w:ilvl w:val="0"/>
          <w:numId w:val="1002"/>
        </w:numPr>
        <w:pStyle w:val="Compact"/>
      </w:pPr>
      <w:r>
        <w:t xml:space="preserve">Any disputes arising from this Invoice or the underlying Financial Analyst engagement shall be resolved through the Tehran Arbitration Center in accordance with the Iranian Civil Code and commercial arbitration procedures.</w:t>
      </w:r>
    </w:p>
    <w:p>
      <w:pPr>
        <w:numPr>
          <w:ilvl w:val="0"/>
          <w:numId w:val="1002"/>
        </w:numPr>
        <w:pStyle w:val="Compact"/>
      </w:pPr>
      <w:r>
        <w:t xml:space="preserve">This Invoice is subject to the master service agreement (Contract No. MFA-KID-2025-001) governing the ongoing Financial Analyst advisory relationship between the parties in Tehran, Iran.</w:t>
      </w:r>
    </w:p>
    <w:p>
      <w:pPr>
        <w:numPr>
          <w:ilvl w:val="0"/>
          <w:numId w:val="1002"/>
        </w:numPr>
        <w:pStyle w:val="Compact"/>
      </w:pPr>
      <w:r>
        <w:t xml:space="preserve">Meridian Financial Advisory Group is a licensed and registered Financial Analyst firm in Tehran, Iran, and all services are performed under the supervision of a certified CFA charterholder in compliance with the standards of the Iranian Securities and Exchange Organization (TSE) and the International Financial Reporting Standards (IFRS) as adopted in Iran.</w:t>
      </w:r>
    </w:p>
    <w:bookmarkEnd w:id="26"/>
    <w:p>
      <w:pPr>
        <w:pStyle w:val="FirstParagraph"/>
      </w:pPr>
      <w:r>
        <w:t xml:space="preserve">Meridian Financial Advisory Group | Tehran, Iran | Commercial Reg. No. 10482937 | Tax Code: 0098452176</w:t>
      </w:r>
    </w:p>
    <w:p>
      <w:pPr>
        <w:pStyle w:val="BodyText"/>
      </w:pPr>
      <w:r>
        <w:t xml:space="preserve">This Invoice was generated electronically and is valid without a physical signature per Iranian Electronic Transactions Law (2002).</w:t>
      </w:r>
    </w:p>
    <w:p>
      <w:pPr>
        <w:pStyle w:val="BodyText"/>
      </w:pPr>
      <w:r>
        <w:t xml:space="preserve">For inquiries regarding this Invoice, please contact our billing department in Tehran at billing@meridianfa.ir or +98-21-8876-5432.</w:t>
      </w:r>
    </w:p>
    <w:p>
      <w:pPr>
        <w:pStyle w:val="BodyText"/>
      </w:pPr>
      <w:r>
        <w:t xml:space="preserve">Thank you for your business. We value our partnership with you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Tehran, Iran</dc:title>
  <dc:creator/>
  <dc:language>en</dc:language>
  <cp:keywords/>
  <dcterms:created xsi:type="dcterms:W3CDTF">2026-10-10T06:57:33Z</dcterms:created>
  <dcterms:modified xsi:type="dcterms:W3CDTF">2026-10-10T06:57:33Z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