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al-rafidain-financial-consulting-group"/>
    <w:p>
      <w:pPr>
        <w:pStyle w:val="Heading1"/>
      </w:pPr>
      <w:r>
        <w:t xml:space="preserve">Al-Rafidain Financial Consulting Group</w:t>
      </w:r>
    </w:p>
    <w:p>
      <w:pPr>
        <w:pStyle w:val="FirstParagraph"/>
      </w:pPr>
      <w:r>
        <w:t xml:space="preserve">Office 12, Al-Mansour Business Tower</w:t>
      </w:r>
    </w:p>
    <w:p>
      <w:pPr>
        <w:pStyle w:val="BodyText"/>
      </w:pPr>
      <w:r>
        <w:t xml:space="preserve">Al-Mansour District, Baghdad, Iraq</w:t>
      </w:r>
    </w:p>
    <w:p>
      <w:pPr>
        <w:pStyle w:val="BodyText"/>
      </w:pPr>
      <w:r>
        <w:t xml:space="preserve">Phone: +964-770-123-4567</w:t>
      </w:r>
    </w:p>
    <w:p>
      <w:pPr>
        <w:pStyle w:val="BodyText"/>
      </w:pPr>
      <w:r>
        <w:t xml:space="preserve">Email: billing@alrafidainfc.com.iq</w:t>
      </w:r>
    </w:p>
    <w:p>
      <w:pPr>
        <w:pStyle w:val="BodyText"/>
      </w:pPr>
      <w:r>
        <w:t xml:space="preserve">Commercial Registration No: IQ-BGH-2019-44821</w:t>
      </w:r>
    </w:p>
    <w:bookmarkEnd w:id="20"/>
    <w:bookmarkStart w:id="21" w:name="invoice"/>
    <w:p>
      <w:pPr>
        <w:pStyle w:val="Heading2"/>
      </w:pPr>
      <w:r>
        <w:t xml:space="preserve">INVOICE</w:t>
      </w:r>
    </w:p>
    <w:p>
      <w:pPr>
        <w:pStyle w:val="FirstParagraph"/>
      </w:pPr>
      <w:r>
        <w:t xml:space="preserve">Invoice No: ARFC-2025-00347</w:t>
      </w:r>
    </w:p>
    <w:p>
      <w:pPr>
        <w:pStyle w:val="BodyText"/>
      </w:pPr>
      <w:r>
        <w:t xml:space="preserve">Date of Issue: 15 June 2025</w:t>
      </w:r>
    </w:p>
    <w:p>
      <w:pPr>
        <w:pStyle w:val="BodyText"/>
      </w:pPr>
      <w:r>
        <w:t xml:space="preserve">Due Date: 30 June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Mesopotamia Energy &amp; Infrastructure Co.</w:t>
      </w:r>
    </w:p>
    <w:p>
      <w:pPr>
        <w:pStyle w:val="BodyText"/>
      </w:pPr>
      <w:r>
        <w:rPr>
          <w:bCs/>
          <w:b/>
        </w:rPr>
        <w:t xml:space="preserve">Address:</w:t>
      </w:r>
      <w:r>
        <w:t xml:space="preserve"> </w:t>
      </w:r>
      <w:r>
        <w:t xml:space="preserve">Al-Karrada District, Baghdad, Iraq</w:t>
      </w:r>
    </w:p>
    <w:p>
      <w:pPr>
        <w:pStyle w:val="BodyText"/>
      </w:pPr>
      <w:r>
        <w:rPr>
          <w:bCs/>
          <w:b/>
        </w:rPr>
        <w:t xml:space="preserve">Attn:</w:t>
      </w:r>
      <w:r>
        <w:t xml:space="preserve"> </w:t>
      </w:r>
      <w:r>
        <w:t xml:space="preserve">Mr. Khalid Al-Rashid, Chief Financial Officer</w:t>
      </w:r>
    </w:p>
    <w:p>
      <w:pPr>
        <w:pStyle w:val="BodyText"/>
      </w:pPr>
      <w:r>
        <w:rPr>
          <w:bCs/>
          <w:b/>
        </w:rPr>
        <w:t xml:space="preserve">VAT / Tax ID:</w:t>
      </w:r>
      <w:r>
        <w:t xml:space="preserve"> </w:t>
      </w:r>
      <w:r>
        <w:t xml:space="preserve">IQ-TAX-88213377</w:t>
      </w:r>
    </w:p>
    <w:bookmarkEnd w:id="22"/>
    <w:bookmarkStart w:id="23" w:name="service-provider"/>
    <w:p>
      <w:pPr>
        <w:pStyle w:val="Heading3"/>
      </w:pPr>
      <w:r>
        <w:t xml:space="preserve">Service Provider</w:t>
      </w:r>
    </w:p>
    <w:p>
      <w:pPr>
        <w:pStyle w:val="FirstParagraph"/>
      </w:pPr>
      <w:r>
        <w:rPr>
          <w:bCs/>
          <w:b/>
        </w:rPr>
        <w:t xml:space="preserve">Consultant:</w:t>
      </w:r>
      <w:r>
        <w:t xml:space="preserve"> </w:t>
      </w:r>
      <w:r>
        <w:t xml:space="preserve">Dr. Layla Al-Hassan, Senior Financial Analyst</w:t>
      </w:r>
    </w:p>
    <w:p>
      <w:pPr>
        <w:pStyle w:val="BodyText"/>
      </w:pPr>
      <w:r>
        <w:rPr>
          <w:bCs/>
          <w:b/>
        </w:rPr>
        <w:t xml:space="preserve">Specialization:</w:t>
      </w:r>
      <w:r>
        <w:t xml:space="preserve"> </w:t>
      </w:r>
      <w:r>
        <w:t xml:space="preserve">Corporate Finance &amp; Risk Assessment</w:t>
      </w:r>
    </w:p>
    <w:p>
      <w:pPr>
        <w:pStyle w:val="BodyText"/>
      </w:pPr>
      <w:r>
        <w:rPr>
          <w:bCs/>
          <w:b/>
        </w:rPr>
        <w:t xml:space="preserve">Engagement Ref:</w:t>
      </w:r>
      <w:r>
        <w:t xml:space="preserve"> </w:t>
      </w:r>
      <w:r>
        <w:t xml:space="preserve">EFG-2025-BGH-019</w:t>
      </w:r>
    </w:p>
    <w:p>
      <w:pPr>
        <w:pStyle w:val="BodyText"/>
      </w:pPr>
      <w:r>
        <w:rPr>
          <w:bCs/>
          <w:b/>
        </w:rPr>
        <w:t xml:space="preserve">Project Duration:</w:t>
      </w:r>
      <w:r>
        <w:t xml:space="preserve"> </w:t>
      </w:r>
      <w:r>
        <w:t xml:space="preserve">1 March 2025 – 31 May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Financial Analyst Services</w:t>
            </w:r>
          </w:p>
        </w:tc>
        <w:tc>
          <w:tcPr/>
          <w:p>
            <w:pPr>
              <w:pStyle w:val="Compact"/>
              <w:jc w:val="left"/>
            </w:pPr>
            <w:r>
              <w:t xml:space="preserve">Rate (IQD)</w:t>
            </w:r>
          </w:p>
        </w:tc>
        <w:tc>
          <w:tcPr/>
          <w:p>
            <w:pPr>
              <w:pStyle w:val="Compact"/>
              <w:jc w:val="left"/>
            </w:pPr>
            <w:r>
              <w:t xml:space="preserve">Hours</w:t>
            </w:r>
          </w:p>
        </w:tc>
        <w:tc>
          <w:tcPr/>
          <w:p>
            <w:pPr>
              <w:pStyle w:val="Compact"/>
              <w:jc w:val="left"/>
            </w:pPr>
            <w:r>
              <w:t xml:space="preserve">Amount (IQD)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Comprehensive Financial Statement Analysis &amp; Ratio Assessment</w:t>
            </w:r>
            <w:r>
              <w:t xml:space="preserve"> </w:t>
            </w:r>
            <w:r>
              <w:t xml:space="preserve">Full review of Q1 2025 financial statements, liquidity ratios, solvency metrics, and profitability analysis for Mesopotamia Energy &amp; Infrastructure Co. conducted by the assigned Financial Analyst in Baghdad.</w:t>
            </w:r>
          </w:p>
        </w:tc>
        <w:tc>
          <w:tcPr/>
          <w:p>
            <w:pPr>
              <w:pStyle w:val="Compact"/>
              <w:jc w:val="left"/>
            </w:pPr>
            <w:r>
              <w:t xml:space="preserve">185,000</w:t>
            </w:r>
          </w:p>
        </w:tc>
        <w:tc>
          <w:tcPr/>
          <w:p>
            <w:pPr>
              <w:pStyle w:val="Compact"/>
              <w:jc w:val="left"/>
            </w:pPr>
            <w:r>
              <w:t xml:space="preserve">40</w:t>
            </w:r>
          </w:p>
        </w:tc>
        <w:tc>
          <w:tcPr/>
          <w:p>
            <w:pPr>
              <w:pStyle w:val="Compact"/>
              <w:jc w:val="left"/>
            </w:pPr>
            <w:r>
              <w:t xml:space="preserve">7,400,000</w:t>
            </w:r>
          </w:p>
        </w:tc>
        <w:tc>
          <w:tcPr/>
          <w:p>
            <w:pPr>
              <w:pStyle w:val="Compact"/>
              <w:jc w:val="left"/>
            </w:pPr>
            <w:r>
              <w:t xml:space="preserve">5,600.00</w:t>
            </w:r>
          </w:p>
        </w:tc>
      </w:tr>
      <w:tr>
        <w:tc>
          <w:tcPr/>
          <w:p>
            <w:pPr>
              <w:pStyle w:val="Compact"/>
              <w:jc w:val="left"/>
            </w:pPr>
            <w:r>
              <w:t xml:space="preserve">2</w:t>
            </w:r>
          </w:p>
        </w:tc>
        <w:tc>
          <w:tcPr/>
          <w:p>
            <w:pPr>
              <w:pStyle w:val="Compact"/>
              <w:jc w:val="left"/>
            </w:pPr>
            <w:r>
              <w:t xml:space="preserve">Capital Budgeting &amp; Investment Appraisal for New Infrastructure Projects</w:t>
            </w:r>
            <w:r>
              <w:t xml:space="preserve"> </w:t>
            </w:r>
            <w:r>
              <w:t xml:space="preserve">NPV, IRR, and payback period calculations for three proposed energy infrastructure projects in the Baghdad metropolitan region. The Financial Analyst prepared detailed cash flow projections and sensitivity analyses.</w:t>
            </w:r>
          </w:p>
        </w:tc>
        <w:tc>
          <w:tcPr/>
          <w:p>
            <w:pPr>
              <w:pStyle w:val="Compact"/>
              <w:jc w:val="left"/>
            </w:pPr>
            <w:r>
              <w:t xml:space="preserve">210,000</w:t>
            </w:r>
          </w:p>
        </w:tc>
        <w:tc>
          <w:tcPr/>
          <w:p>
            <w:pPr>
              <w:pStyle w:val="Compact"/>
              <w:jc w:val="left"/>
            </w:pPr>
            <w:r>
              <w:t xml:space="preserve">56</w:t>
            </w:r>
          </w:p>
        </w:tc>
        <w:tc>
          <w:tcPr/>
          <w:p>
            <w:pPr>
              <w:pStyle w:val="Compact"/>
              <w:jc w:val="left"/>
            </w:pPr>
            <w:r>
              <w:t xml:space="preserve">11,760,000</w:t>
            </w:r>
          </w:p>
        </w:tc>
        <w:tc>
          <w:tcPr/>
          <w:p>
            <w:pPr>
              <w:pStyle w:val="Compact"/>
              <w:jc w:val="left"/>
            </w:pPr>
            <w:r>
              <w:t xml:space="preserve">8,900.00</w:t>
            </w:r>
          </w:p>
        </w:tc>
      </w:tr>
      <w:tr>
        <w:tc>
          <w:tcPr/>
          <w:p>
            <w:pPr>
              <w:pStyle w:val="Compact"/>
              <w:jc w:val="left"/>
            </w:pPr>
            <w:r>
              <w:t xml:space="preserve">3</w:t>
            </w:r>
          </w:p>
        </w:tc>
        <w:tc>
          <w:tcPr/>
          <w:p>
            <w:pPr>
              <w:pStyle w:val="Compact"/>
              <w:jc w:val="left"/>
            </w:pPr>
            <w:r>
              <w:t xml:space="preserve">Risk Assessment &amp; Hedging Strategy Development</w:t>
            </w:r>
            <w:r>
              <w:t xml:space="preserve"> </w:t>
            </w:r>
            <w:r>
              <w:t xml:space="preserve">Evaluation of foreign exchange exposure, commodity price volatility, and interest rate risk. The Financial Analyst designed a multi-layered hedging framework aligned with Iraqi Central Bank regulations and Baghdad market conditions.</w:t>
            </w:r>
          </w:p>
        </w:tc>
        <w:tc>
          <w:tcPr/>
          <w:p>
            <w:pPr>
              <w:pStyle w:val="Compact"/>
              <w:jc w:val="left"/>
            </w:pPr>
            <w:r>
              <w:t xml:space="preserve">195,000</w:t>
            </w:r>
          </w:p>
        </w:tc>
        <w:tc>
          <w:tcPr/>
          <w:p>
            <w:pPr>
              <w:pStyle w:val="Compact"/>
              <w:jc w:val="left"/>
            </w:pPr>
            <w:r>
              <w:t xml:space="preserve">32</w:t>
            </w:r>
          </w:p>
        </w:tc>
        <w:tc>
          <w:tcPr/>
          <w:p>
            <w:pPr>
              <w:pStyle w:val="Compact"/>
              <w:jc w:val="left"/>
            </w:pPr>
            <w:r>
              <w:t xml:space="preserve">6,240,000</w:t>
            </w:r>
          </w:p>
        </w:tc>
        <w:tc>
          <w:tcPr/>
          <w:p>
            <w:pPr>
              <w:pStyle w:val="Compact"/>
              <w:jc w:val="left"/>
            </w:pPr>
            <w:r>
              <w:t xml:space="preserve">4,720.00</w:t>
            </w:r>
          </w:p>
        </w:tc>
      </w:tr>
      <w:tr>
        <w:tc>
          <w:tcPr/>
          <w:p>
            <w:pPr>
              <w:pStyle w:val="Compact"/>
              <w:jc w:val="left"/>
            </w:pPr>
            <w:r>
              <w:t xml:space="preserve">4</w:t>
            </w:r>
          </w:p>
        </w:tc>
        <w:tc>
          <w:tcPr/>
          <w:p>
            <w:pPr>
              <w:pStyle w:val="Compact"/>
              <w:jc w:val="left"/>
            </w:pPr>
            <w:r>
              <w:t xml:space="preserve">Monthly Financial Reporting &amp; Board Presentation Support</w:t>
            </w:r>
            <w:r>
              <w:t xml:space="preserve"> </w:t>
            </w:r>
            <w:r>
              <w:t xml:space="preserve">Preparation of monthly variance reports, KPI dashboards, and executive summaries for the board of directors. The Financial Analyst delivered three on-site presentations at the client's Baghdad headquarters.</w:t>
            </w:r>
          </w:p>
        </w:tc>
        <w:tc>
          <w:tcPr/>
          <w:p>
            <w:pPr>
              <w:pStyle w:val="Compact"/>
              <w:jc w:val="left"/>
            </w:pPr>
            <w:r>
              <w:t xml:space="preserve">170,000</w:t>
            </w:r>
          </w:p>
        </w:tc>
        <w:tc>
          <w:tcPr/>
          <w:p>
            <w:pPr>
              <w:pStyle w:val="Compact"/>
              <w:jc w:val="left"/>
            </w:pPr>
            <w:r>
              <w:t xml:space="preserve">24</w:t>
            </w:r>
          </w:p>
        </w:tc>
        <w:tc>
          <w:tcPr/>
          <w:p>
            <w:pPr>
              <w:pStyle w:val="Compact"/>
              <w:jc w:val="left"/>
            </w:pPr>
            <w:r>
              <w:t xml:space="preserve">4,080,000</w:t>
            </w:r>
          </w:p>
        </w:tc>
        <w:tc>
          <w:tcPr/>
          <w:p>
            <w:pPr>
              <w:pStyle w:val="Compact"/>
              <w:jc w:val="left"/>
            </w:pPr>
            <w:r>
              <w:t xml:space="preserve">3,080.00</w:t>
            </w:r>
          </w:p>
        </w:tc>
      </w:tr>
      <w:tr>
        <w:tc>
          <w:tcPr/>
          <w:p>
            <w:pPr>
              <w:pStyle w:val="Compact"/>
              <w:jc w:val="left"/>
            </w:pPr>
            <w:r>
              <w:t xml:space="preserve">5</w:t>
            </w:r>
          </w:p>
        </w:tc>
        <w:tc>
          <w:tcPr/>
          <w:p>
            <w:pPr>
              <w:pStyle w:val="Compact"/>
              <w:jc w:val="left"/>
            </w:pPr>
            <w:r>
              <w:t xml:space="preserve">Regulatory Compliance Review – Iraqi Securities &amp; Exchange Commission</w:t>
            </w:r>
            <w:r>
              <w:t xml:space="preserve"> </w:t>
            </w:r>
            <w:r>
              <w:t xml:space="preserve">Audit of financial disclosures against the latest Iraqi Securities and Exchange Commission guidelines. The Financial Analyst ensured all filings met statutory requirements for publicly listed entities operating in Baghdad.</w:t>
            </w:r>
          </w:p>
        </w:tc>
        <w:tc>
          <w:tcPr/>
          <w:p>
            <w:pPr>
              <w:pStyle w:val="Compact"/>
              <w:jc w:val="left"/>
            </w:pPr>
            <w:r>
              <w:t xml:space="preserve">200,000</w:t>
            </w:r>
          </w:p>
        </w:tc>
        <w:tc>
          <w:tcPr/>
          <w:p>
            <w:pPr>
              <w:pStyle w:val="Compact"/>
              <w:jc w:val="left"/>
            </w:pPr>
            <w:r>
              <w:t xml:space="preserve">20</w:t>
            </w:r>
          </w:p>
        </w:tc>
        <w:tc>
          <w:tcPr/>
          <w:p>
            <w:pPr>
              <w:pStyle w:val="Compact"/>
              <w:jc w:val="left"/>
            </w:pPr>
            <w:r>
              <w:t xml:space="preserve">4,000,000</w:t>
            </w:r>
          </w:p>
        </w:tc>
        <w:tc>
          <w:tcPr/>
          <w:p>
            <w:pPr>
              <w:pStyle w:val="Compact"/>
              <w:jc w:val="left"/>
            </w:pPr>
            <w:r>
              <w:t xml:space="preserve">3,020.00</w:t>
            </w:r>
          </w:p>
        </w:tc>
      </w:tr>
    </w:tbl>
    <w:tbl>
      <w:tblPr>
        <w:tblStyle w:val="Table"/>
        <w:tblW w:type="auto" w:w="0"/>
        <w:tblLook w:firstRow="0" w:lastRow="0" w:firstColumn="0" w:lastColumn="0" w:noHBand="0" w:noVBand="0" w:val="0000"/>
      </w:tblPr>
      <w:tblGrid>
        <w:gridCol w:w="2640"/>
        <w:gridCol w:w="2640"/>
        <w:gridCol w:w="2640"/>
      </w:tblGrid>
      <w:tr>
        <w:tc>
          <w:tcPr/>
          <w:p>
            <w:pPr>
              <w:pStyle w:val="Compact"/>
              <w:jc w:val="left"/>
            </w:pPr>
            <w:r>
              <w:t xml:space="preserve">Subtotal</w:t>
            </w:r>
          </w:p>
        </w:tc>
        <w:tc>
          <w:tcPr/>
          <w:p>
            <w:pPr>
              <w:pStyle w:val="Compact"/>
              <w:jc w:val="left"/>
            </w:pPr>
            <w:r>
              <w:t xml:space="preserve">33,480,000 IQD</w:t>
            </w:r>
          </w:p>
        </w:tc>
        <w:tc>
          <w:tcPr/>
          <w:p>
            <w:pPr>
              <w:pStyle w:val="Compact"/>
              <w:jc w:val="left"/>
            </w:pPr>
            <w:r>
              <w:t xml:space="preserve">25,320.00 USD</w:t>
            </w:r>
          </w:p>
        </w:tc>
      </w:tr>
      <w:tr>
        <w:tc>
          <w:tcPr/>
          <w:p>
            <w:pPr>
              <w:pStyle w:val="Compact"/>
              <w:jc w:val="left"/>
            </w:pPr>
            <w:r>
              <w:t xml:space="preserve">VAT (5% – Iraq Standard Rate)</w:t>
            </w:r>
          </w:p>
        </w:tc>
        <w:tc>
          <w:tcPr/>
          <w:p>
            <w:pPr>
              <w:pStyle w:val="Compact"/>
              <w:jc w:val="left"/>
            </w:pPr>
            <w:r>
              <w:t xml:space="preserve">1,674,000 IQD</w:t>
            </w:r>
          </w:p>
        </w:tc>
        <w:tc>
          <w:tcPr/>
          <w:p>
            <w:pPr>
              <w:pStyle w:val="Compact"/>
              <w:jc w:val="left"/>
            </w:pPr>
            <w:r>
              <w:t xml:space="preserve">1,266.00 USD</w:t>
            </w:r>
          </w:p>
        </w:tc>
      </w:tr>
      <w:tr>
        <w:tc>
          <w:tcPr/>
          <w:p>
            <w:pPr>
              <w:pStyle w:val="Compact"/>
              <w:jc w:val="left"/>
            </w:pPr>
            <w:r>
              <w:t xml:space="preserve">On-Site Travel &amp; Accommodation (Baghdad)</w:t>
            </w:r>
          </w:p>
        </w:tc>
        <w:tc>
          <w:tcPr/>
          <w:p>
            <w:pPr>
              <w:pStyle w:val="Compact"/>
              <w:jc w:val="left"/>
            </w:pPr>
            <w:r>
              <w:t xml:space="preserve">1,200,000 IQD</w:t>
            </w:r>
          </w:p>
        </w:tc>
        <w:tc>
          <w:tcPr/>
          <w:p>
            <w:pPr>
              <w:pStyle w:val="Compact"/>
              <w:jc w:val="left"/>
            </w:pPr>
            <w:r>
              <w:t xml:space="preserve">908.00 USD</w:t>
            </w:r>
          </w:p>
        </w:tc>
      </w:tr>
      <w:tr>
        <w:tc>
          <w:tcPr/>
          <w:p>
            <w:pPr>
              <w:pStyle w:val="Compact"/>
              <w:jc w:val="left"/>
            </w:pPr>
            <w:r>
              <w:t xml:space="preserve">GRAND TOTAL</w:t>
            </w:r>
          </w:p>
        </w:tc>
        <w:tc>
          <w:tcPr/>
          <w:p>
            <w:pPr>
              <w:pStyle w:val="Compact"/>
              <w:jc w:val="left"/>
            </w:pPr>
            <w:r>
              <w:t xml:space="preserve">36,354,000 IQD</w:t>
            </w:r>
          </w:p>
        </w:tc>
        <w:tc>
          <w:tcPr/>
          <w:p>
            <w:pPr>
              <w:pStyle w:val="Compact"/>
              <w:jc w:val="left"/>
            </w:pPr>
            <w:r>
              <w:t xml:space="preserve">27,494.00 USD</w:t>
            </w:r>
          </w:p>
        </w:tc>
      </w:tr>
    </w:tbl>
    <w:bookmarkStart w:id="24" w:name="invoice-notes-terms"/>
    <w:p>
      <w:pPr>
        <w:pStyle w:val="Heading3"/>
      </w:pPr>
      <w:r>
        <w:t xml:space="preserve">Invoice Notes &amp; Terms</w:t>
      </w:r>
    </w:p>
    <w:p>
      <w:pPr>
        <w:numPr>
          <w:ilvl w:val="0"/>
          <w:numId w:val="1001"/>
        </w:numPr>
        <w:pStyle w:val="Compact"/>
      </w:pPr>
      <w:r>
        <w:t xml:space="preserve">This Invoice is issued in accordance with the professional services agreement (Contract No. EFG-2025-BGH-019) between Al-Rafidain Financial Consulting Group and Mesopotamia Energy &amp; Infrastructure Co., both registered in Baghdad, Iraq.</w:t>
      </w:r>
    </w:p>
    <w:p>
      <w:pPr>
        <w:numPr>
          <w:ilvl w:val="0"/>
          <w:numId w:val="1001"/>
        </w:numPr>
        <w:pStyle w:val="Compact"/>
      </w:pPr>
      <w:r>
        <w:t xml:space="preserve">All Financial Analyst services rendered were performed in compliance with Iraqi commercial law, the Iraqi Companies Law No. 21 of 1997 (as amended), and the standards set forth by the Iraqi Securities and Exchange Commission.</w:t>
      </w:r>
    </w:p>
    <w:p>
      <w:pPr>
        <w:numPr>
          <w:ilvl w:val="0"/>
          <w:numId w:val="1001"/>
        </w:numPr>
        <w:pStyle w:val="Compact"/>
      </w:pPr>
      <w:r>
        <w:t xml:space="preserve">Payment is due within fifteen (15) calendar days from the date of issue of this Invoice. Late payments shall accrue interest at a rate of 1.5% per month, in accordance with Iraqi commercial practice.</w:t>
      </w:r>
    </w:p>
    <w:p>
      <w:pPr>
        <w:numPr>
          <w:ilvl w:val="0"/>
          <w:numId w:val="1001"/>
        </w:numPr>
        <w:pStyle w:val="Compact"/>
      </w:pPr>
      <w:r>
        <w:t xml:space="preserve">Currency conversion is based on the Central Bank of Iraq (CBI) official exchange rate as of 15 June 2025 (1 USD = 1,315 IQD). Any discrepancy exceeding 2% shall be subject to mutual renegotiation.</w:t>
      </w:r>
    </w:p>
    <w:p>
      <w:pPr>
        <w:numPr>
          <w:ilvl w:val="0"/>
          <w:numId w:val="1001"/>
        </w:numPr>
        <w:pStyle w:val="Compact"/>
      </w:pPr>
      <w:r>
        <w:t xml:space="preserve">This Invoice constitutes the final settlement for all Financial Analyst consulting services delivered during the period of 1 March 2025 through 31 May 2025 in Baghdad, Iraq. No further charges shall apply unless a written change order is executed by both parties.</w:t>
      </w:r>
    </w:p>
    <w:p>
      <w:pPr>
        <w:numPr>
          <w:ilvl w:val="0"/>
          <w:numId w:val="1001"/>
        </w:numPr>
        <w:pStyle w:val="Compact"/>
      </w:pPr>
      <w:r>
        <w:t xml:space="preserve">Confidentiality: All financial data, projections, and strategic recommendations prepared by the Financial Analyst remain the exclusive property of the client and are subject to the Non-Disclosure Agreement signed on 28 February 2025.</w:t>
      </w:r>
    </w:p>
    <w:bookmarkEnd w:id="24"/>
    <w:bookmarkStart w:id="25" w:name="bank-transfer-details-iraq"/>
    <w:p>
      <w:pPr>
        <w:pStyle w:val="Heading3"/>
      </w:pPr>
      <w:r>
        <w:t xml:space="preserve">Bank Transfer Details (Iraq)</w:t>
      </w:r>
    </w:p>
    <w:p>
      <w:pPr>
        <w:pStyle w:val="FirstParagraph"/>
      </w:pPr>
      <w:r>
        <w:rPr>
          <w:bCs/>
          <w:b/>
        </w:rPr>
        <w:t xml:space="preserve">Bank:</w:t>
      </w:r>
      <w:r>
        <w:t xml:space="preserve"> </w:t>
      </w:r>
      <w:r>
        <w:t xml:space="preserve">Bank of Baghdad, Al-Mansour Branch</w:t>
      </w:r>
    </w:p>
    <w:p>
      <w:pPr>
        <w:pStyle w:val="BodyText"/>
      </w:pPr>
      <w:r>
        <w:rPr>
          <w:bCs/>
          <w:b/>
        </w:rPr>
        <w:t xml:space="preserve">Account Name:</w:t>
      </w:r>
      <w:r>
        <w:t xml:space="preserve"> </w:t>
      </w:r>
      <w:r>
        <w:t xml:space="preserve">Al-Rafidain Financial Consulting Group</w:t>
      </w:r>
    </w:p>
    <w:p>
      <w:pPr>
        <w:pStyle w:val="BodyText"/>
      </w:pPr>
      <w:r>
        <w:rPr>
          <w:bCs/>
          <w:b/>
        </w:rPr>
        <w:t xml:space="preserve">Account No:</w:t>
      </w:r>
      <w:r>
        <w:t xml:space="preserve"> </w:t>
      </w:r>
      <w:r>
        <w:t xml:space="preserve">0042-8871-3356-2210</w:t>
      </w:r>
    </w:p>
    <w:p>
      <w:pPr>
        <w:pStyle w:val="BodyText"/>
      </w:pPr>
      <w:r>
        <w:rPr>
          <w:bCs/>
          <w:b/>
        </w:rPr>
        <w:t xml:space="preserve">SWIFT / BIC:</w:t>
      </w:r>
      <w:r>
        <w:t xml:space="preserve"> </w:t>
      </w:r>
      <w:r>
        <w:t xml:space="preserve">BKBG IQ BB</w:t>
      </w:r>
    </w:p>
    <w:p>
      <w:pPr>
        <w:pStyle w:val="BodyText"/>
      </w:pPr>
      <w:r>
        <w:rPr>
          <w:bCs/>
          <w:b/>
        </w:rPr>
        <w:t xml:space="preserve">IBAN:</w:t>
      </w:r>
      <w:r>
        <w:t xml:space="preserve"> </w:t>
      </w:r>
      <w:r>
        <w:t xml:space="preserve">IQ00 BKBG 0042 8871 3356 2210</w:t>
      </w:r>
    </w:p>
    <w:bookmarkEnd w:id="25"/>
    <w:bookmarkStart w:id="26" w:name="alternative-payment-usd-wire"/>
    <w:p>
      <w:pPr>
        <w:pStyle w:val="Heading3"/>
      </w:pPr>
      <w:r>
        <w:t xml:space="preserve">Alternative Payment (USD Wire)</w:t>
      </w:r>
    </w:p>
    <w:p>
      <w:pPr>
        <w:pStyle w:val="FirstParagraph"/>
      </w:pPr>
      <w:r>
        <w:rPr>
          <w:bCs/>
          <w:b/>
        </w:rPr>
        <w:t xml:space="preserve">Bank:</w:t>
      </w:r>
      <w:r>
        <w:t xml:space="preserve"> </w:t>
      </w:r>
      <w:r>
        <w:t xml:space="preserve">First Iraqi American Bank, Baghdad</w:t>
      </w:r>
    </w:p>
    <w:p>
      <w:pPr>
        <w:pStyle w:val="BodyText"/>
      </w:pPr>
      <w:r>
        <w:rPr>
          <w:bCs/>
          <w:b/>
        </w:rPr>
        <w:t xml:space="preserve">Account Name:</w:t>
      </w:r>
      <w:r>
        <w:t xml:space="preserve"> </w:t>
      </w:r>
      <w:r>
        <w:t xml:space="preserve">Al-Rafidain Financial Consulting Group</w:t>
      </w:r>
    </w:p>
    <w:p>
      <w:pPr>
        <w:pStyle w:val="BodyText"/>
      </w:pPr>
      <w:r>
        <w:rPr>
          <w:bCs/>
          <w:b/>
        </w:rPr>
        <w:t xml:space="preserve">Account No:</w:t>
      </w:r>
      <w:r>
        <w:t xml:space="preserve"> </w:t>
      </w:r>
      <w:r>
        <w:t xml:space="preserve">7712-4450-9981</w:t>
      </w:r>
    </w:p>
    <w:p>
      <w:pPr>
        <w:pStyle w:val="BodyText"/>
      </w:pPr>
      <w:r>
        <w:rPr>
          <w:bCs/>
          <w:b/>
        </w:rPr>
        <w:t xml:space="preserve">SWIFT / BIC:</w:t>
      </w:r>
      <w:r>
        <w:t xml:space="preserve"> </w:t>
      </w:r>
      <w:r>
        <w:t xml:space="preserve">FIAQ IQ BB</w:t>
      </w:r>
    </w:p>
    <w:p>
      <w:pPr>
        <w:pStyle w:val="BodyText"/>
      </w:pPr>
      <w:r>
        <w:rPr>
          <w:bCs/>
          <w:b/>
        </w:rPr>
        <w:t xml:space="preserve">Reference:</w:t>
      </w:r>
      <w:r>
        <w:t xml:space="preserve"> </w:t>
      </w:r>
      <w:r>
        <w:t xml:space="preserve">ARFC-2025-00347</w:t>
      </w:r>
    </w:p>
    <w:bookmarkEnd w:id="26"/>
    <w:p>
      <w:pPr>
        <w:pStyle w:val="BodyText"/>
      </w:pPr>
      <w:r>
        <w:t xml:space="preserve">This Invoice was prepared and issued by Al-Rafidain Financial Consulting Group, a registered professional services firm headquartered in Baghdad, Iraq.</w:t>
      </w:r>
      <w:r>
        <w:t xml:space="preserve"> </w:t>
      </w:r>
      <w:r>
        <w:t xml:space="preserve">All Financial Analyst engagements are conducted under the supervision of certified professionals licensed by the Iraqi Ministry of Finance.</w:t>
      </w:r>
    </w:p>
    <w:p>
      <w:pPr>
        <w:pStyle w:val="BodyText"/>
      </w:pPr>
      <w:r>
        <w:t xml:space="preserve">For queries regarding this Invoice, please contact our billing department at billing@alrafidainfc.com.iq or call +964-770-123-4567 (Mon–Fri, 9:00 AM – 5:00 PM Baghdad time).</w:t>
      </w:r>
    </w:p>
    <w:p>
      <w:pPr>
        <w:pStyle w:val="BodyText"/>
      </w:pPr>
      <w:r>
        <w:t xml:space="preserve">Thank you for your business. We value our partnership and look forward to continuing to serve your financial needs in Iraq Baghdad and beyond.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Financial Analyst Services - Iraq Baghdad</dc:title>
  <dc:creator/>
  <dc:language>en</dc:language>
  <cp:keywords/>
  <dcterms:created xsi:type="dcterms:W3CDTF">2026-10-10T08:35:43Z</dcterms:created>
  <dcterms:modified xsi:type="dcterms:W3CDTF">2026-10-10T08:35:43Z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