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levant-capital-advisory-group"/>
    <w:p>
      <w:pPr>
        <w:pStyle w:val="Heading1"/>
      </w:pPr>
      <w:r>
        <w:t xml:space="preserve">Levant Capital Advisory Group</w:t>
      </w:r>
    </w:p>
    <w:p>
      <w:pPr>
        <w:pStyle w:val="FirstParagraph"/>
      </w:pPr>
      <w:r>
        <w:t xml:space="preserve">12 King George Street, Jerusalem 9100000, Israel</w:t>
      </w:r>
    </w:p>
    <w:p>
      <w:pPr>
        <w:pStyle w:val="BodyText"/>
      </w:pPr>
      <w:r>
        <w:t xml:space="preserve">Tel: +972-2-623-4567 | Email: billing@levantcapital.co.il</w:t>
      </w:r>
    </w:p>
    <w:p>
      <w:pPr>
        <w:pStyle w:val="BodyText"/>
      </w:pPr>
      <w:r>
        <w:t xml:space="preserve">VAT No. 51-234-567-8 | License: FIN-2024-0891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LCAG-2025-00472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Eilat Holdings Ltd.</w:t>
      </w:r>
    </w:p>
    <w:p>
      <w:pPr>
        <w:pStyle w:val="BodyText"/>
      </w:pPr>
      <w:r>
        <w:rPr>
          <w:bCs/>
          <w:b/>
        </w:rPr>
        <w:t xml:space="preserve">Address:</w:t>
      </w:r>
      <w:r>
        <w:t xml:space="preserve"> </w:t>
      </w:r>
      <w:r>
        <w:t xml:space="preserve">45 Ben Yehuda Street, Jerusalem 9400000, Israel</w:t>
      </w:r>
    </w:p>
    <w:p>
      <w:pPr>
        <w:pStyle w:val="BodyText"/>
      </w:pPr>
      <w:r>
        <w:rPr>
          <w:bCs/>
          <w:b/>
        </w:rPr>
        <w:t xml:space="preserve">Contact:</w:t>
      </w:r>
      <w:r>
        <w:t xml:space="preserve"> </w:t>
      </w:r>
      <w:r>
        <w:t xml:space="preserve">Mr. David Rosen, CFO</w:t>
      </w:r>
    </w:p>
    <w:p>
      <w:pPr>
        <w:pStyle w:val="BodyText"/>
      </w:pPr>
      <w:r>
        <w:rPr>
          <w:bCs/>
          <w:b/>
        </w:rPr>
        <w:t xml:space="preserve">Email:</w:t>
      </w:r>
      <w:r>
        <w:t xml:space="preserve"> </w:t>
      </w:r>
      <w:r>
        <w:t xml:space="preserve">d.rosen@eilatholdings.co.il</w:t>
      </w:r>
    </w:p>
    <w:p>
      <w:pPr>
        <w:pStyle w:val="BodyText"/>
      </w:pPr>
      <w:r>
        <w:rPr>
          <w:bCs/>
          <w:b/>
        </w:rPr>
        <w:t xml:space="preserve">VAT No.:</w:t>
      </w:r>
      <w:r>
        <w:t xml:space="preserve"> </w:t>
      </w:r>
      <w:r>
        <w:t xml:space="preserve">51-876-543-2</w:t>
      </w:r>
    </w:p>
    <w:bookmarkEnd w:id="22"/>
    <w:bookmarkStart w:id="23" w:name="service-provider"/>
    <w:p>
      <w:pPr>
        <w:pStyle w:val="Heading3"/>
      </w:pPr>
      <w:r>
        <w:t xml:space="preserve">Service Provider</w:t>
      </w:r>
    </w:p>
    <w:p>
      <w:pPr>
        <w:pStyle w:val="FirstParagraph"/>
      </w:pPr>
      <w:r>
        <w:rPr>
          <w:bCs/>
          <w:b/>
        </w:rPr>
        <w:t xml:space="preserve">Financial Analyst:</w:t>
      </w:r>
      <w:r>
        <w:t xml:space="preserve"> </w:t>
      </w:r>
      <w:r>
        <w:t xml:space="preserve">Dr. Sarah Cohen, CFA</w:t>
      </w:r>
    </w:p>
    <w:p>
      <w:pPr>
        <w:pStyle w:val="BodyText"/>
      </w:pPr>
      <w:r>
        <w:rPr>
          <w:bCs/>
          <w:b/>
        </w:rPr>
        <w:t xml:space="preserve">Role:</w:t>
      </w:r>
      <w:r>
        <w:t xml:space="preserve"> </w:t>
      </w:r>
      <w:r>
        <w:t xml:space="preserve">Senior Financial Analyst</w:t>
      </w:r>
    </w:p>
    <w:p>
      <w:pPr>
        <w:pStyle w:val="BodyText"/>
      </w:pPr>
      <w:r>
        <w:rPr>
          <w:bCs/>
          <w:b/>
        </w:rPr>
        <w:t xml:space="preserve">Department:</w:t>
      </w:r>
      <w:r>
        <w:t xml:space="preserve"> </w:t>
      </w:r>
      <w:r>
        <w:t xml:space="preserve">Corporate Advisory &amp; Valuation</w:t>
      </w:r>
    </w:p>
    <w:p>
      <w:pPr>
        <w:pStyle w:val="BodyText"/>
      </w:pPr>
      <w:r>
        <w:rPr>
          <w:bCs/>
          <w:b/>
        </w:rPr>
        <w:t xml:space="preserve">Location:</w:t>
      </w:r>
      <w:r>
        <w:t xml:space="preserve"> </w:t>
      </w:r>
      <w:r>
        <w:t xml:space="preserve">Israel Jerusalem Office</w:t>
      </w:r>
    </w:p>
    <w:p>
      <w:pPr>
        <w:pStyle w:val="BodyText"/>
      </w:pPr>
      <w:r>
        <w:rPr>
          <w:bCs/>
          <w:b/>
        </w:rPr>
        <w:t xml:space="preserve">Direct:</w:t>
      </w:r>
      <w:r>
        <w:t xml:space="preserve"> </w:t>
      </w:r>
      <w:r>
        <w:t xml:space="preserve">+972-2-623-4589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(ILS)</w:t>
            </w:r>
          </w:p>
        </w:tc>
        <w:tc>
          <w:tcPr/>
          <w:p>
            <w:pPr>
              <w:pStyle w:val="Compact"/>
              <w:jc w:val="left"/>
            </w:pPr>
            <w:r>
              <w:t xml:space="preserve">Hours</w:t>
            </w:r>
          </w:p>
        </w:tc>
        <w:tc>
          <w:tcPr/>
          <w:p>
            <w:pPr>
              <w:pStyle w:val="Compact"/>
              <w:jc w:val="left"/>
            </w:pPr>
            <w:r>
              <w:t xml:space="preserve">Amount (ILS)</w:t>
            </w:r>
          </w:p>
        </w:tc>
        <w:tc>
          <w:tcPr/>
          <w:p>
            <w:pPr>
              <w:pStyle w:val="Compact"/>
              <w:jc w:val="left"/>
            </w:pPr>
            <w:r>
              <w:t xml:space="preserve">VAT (18%)</w:t>
            </w:r>
          </w:p>
        </w:tc>
      </w:tr>
      <w:tr>
        <w:tc>
          <w:tcPr/>
          <w:p>
            <w:pPr>
              <w:pStyle w:val="Compact"/>
              <w:jc w:val="left"/>
            </w:pPr>
            <w:r>
              <w:t xml:space="preserve">1</w:t>
            </w:r>
          </w:p>
        </w:tc>
        <w:tc>
          <w:tcPr/>
          <w:p>
            <w:pPr>
              <w:pStyle w:val="Compact"/>
              <w:jc w:val="left"/>
            </w:pPr>
            <w:r>
              <w:t xml:space="preserve">Comprehensive quarterly financial statement analysis and ratio benchmarking for Eilat Holdings Ltd., conducted by the assigned Financial Analyst at the Israel Jerusalem headquarters office.</w:t>
            </w:r>
          </w:p>
        </w:tc>
        <w:tc>
          <w:tcPr/>
          <w:p>
            <w:pPr>
              <w:pStyle w:val="Compact"/>
              <w:jc w:val="left"/>
            </w:pPr>
            <w:r>
              <w:t xml:space="preserve">1,200</w:t>
            </w:r>
          </w:p>
        </w:tc>
        <w:tc>
          <w:tcPr/>
          <w:p>
            <w:pPr>
              <w:pStyle w:val="Compact"/>
              <w:jc w:val="left"/>
            </w:pPr>
            <w:r>
              <w:t xml:space="preserve">24</w:t>
            </w:r>
          </w:p>
        </w:tc>
        <w:tc>
          <w:tcPr/>
          <w:p>
            <w:pPr>
              <w:pStyle w:val="Compact"/>
              <w:jc w:val="left"/>
            </w:pPr>
            <w:r>
              <w:t xml:space="preserve">28,800.00</w:t>
            </w:r>
          </w:p>
        </w:tc>
        <w:tc>
          <w:tcPr/>
          <w:p>
            <w:pPr>
              <w:pStyle w:val="Compact"/>
              <w:jc w:val="left"/>
            </w:pPr>
            <w:r>
              <w:t xml:space="preserve">5,184.00</w:t>
            </w:r>
          </w:p>
        </w:tc>
      </w:tr>
      <w:tr>
        <w:tc>
          <w:tcPr/>
          <w:p>
            <w:pPr>
              <w:pStyle w:val="Compact"/>
              <w:jc w:val="left"/>
            </w:pPr>
            <w:r>
              <w:t xml:space="preserve">2</w:t>
            </w:r>
          </w:p>
        </w:tc>
        <w:tc>
          <w:tcPr/>
          <w:p>
            <w:pPr>
              <w:pStyle w:val="Compact"/>
              <w:jc w:val="left"/>
            </w:pPr>
            <w:r>
              <w:t xml:space="preserve">Preparation of detailed cash flow projections and liquidity risk assessment for the upcoming fiscal year, delivered as part of the ongoing Financial Analyst engagement in Israel Jerusalem.</w:t>
            </w:r>
          </w:p>
        </w:tc>
        <w:tc>
          <w:tcPr/>
          <w:p>
            <w:pPr>
              <w:pStyle w:val="Compact"/>
              <w:jc w:val="left"/>
            </w:pPr>
            <w:r>
              <w:t xml:space="preserve">1,200</w:t>
            </w:r>
          </w:p>
        </w:tc>
        <w:tc>
          <w:tcPr/>
          <w:p>
            <w:pPr>
              <w:pStyle w:val="Compact"/>
              <w:jc w:val="left"/>
            </w:pPr>
            <w:r>
              <w:t xml:space="preserve">18</w:t>
            </w:r>
          </w:p>
        </w:tc>
        <w:tc>
          <w:tcPr/>
          <w:p>
            <w:pPr>
              <w:pStyle w:val="Compact"/>
              <w:jc w:val="left"/>
            </w:pPr>
            <w:r>
              <w:t xml:space="preserve">21,600.00</w:t>
            </w:r>
          </w:p>
        </w:tc>
        <w:tc>
          <w:tcPr/>
          <w:p>
            <w:pPr>
              <w:pStyle w:val="Compact"/>
              <w:jc w:val="left"/>
            </w:pPr>
            <w:r>
              <w:t xml:space="preserve">3,888.00</w:t>
            </w:r>
          </w:p>
        </w:tc>
      </w:tr>
      <w:tr>
        <w:tc>
          <w:tcPr/>
          <w:p>
            <w:pPr>
              <w:pStyle w:val="Compact"/>
              <w:jc w:val="left"/>
            </w:pPr>
            <w:r>
              <w:t xml:space="preserve">3</w:t>
            </w:r>
          </w:p>
        </w:tc>
        <w:tc>
          <w:tcPr/>
          <w:p>
            <w:pPr>
              <w:pStyle w:val="Compact"/>
              <w:jc w:val="left"/>
            </w:pPr>
            <w:r>
              <w:t xml:space="preserve">Valuation modeling and discounted cash flow (DCF) analysis for proposed acquisition targets, performed by the Senior Financial Analyst under the supervision of the Israel Jerusalem advisory team.</w:t>
            </w:r>
          </w:p>
        </w:tc>
        <w:tc>
          <w:tcPr/>
          <w:p>
            <w:pPr>
              <w:pStyle w:val="Compact"/>
              <w:jc w:val="left"/>
            </w:pPr>
            <w:r>
              <w:t xml:space="preserve">1,450</w:t>
            </w:r>
          </w:p>
        </w:tc>
        <w:tc>
          <w:tcPr/>
          <w:p>
            <w:pPr>
              <w:pStyle w:val="Compact"/>
              <w:jc w:val="left"/>
            </w:pPr>
            <w:r>
              <w:t xml:space="preserve">16</w:t>
            </w:r>
          </w:p>
        </w:tc>
        <w:tc>
          <w:tcPr/>
          <w:p>
            <w:pPr>
              <w:pStyle w:val="Compact"/>
              <w:jc w:val="left"/>
            </w:pPr>
            <w:r>
              <w:t xml:space="preserve">23,200.00</w:t>
            </w:r>
          </w:p>
        </w:tc>
        <w:tc>
          <w:tcPr/>
          <w:p>
            <w:pPr>
              <w:pStyle w:val="Compact"/>
              <w:jc w:val="left"/>
            </w:pPr>
            <w:r>
              <w:t xml:space="preserve">4,176.00</w:t>
            </w:r>
          </w:p>
        </w:tc>
      </w:tr>
      <w:tr>
        <w:tc>
          <w:tcPr/>
          <w:p>
            <w:pPr>
              <w:pStyle w:val="Compact"/>
              <w:jc w:val="left"/>
            </w:pPr>
            <w:r>
              <w:t xml:space="preserve">4</w:t>
            </w:r>
          </w:p>
        </w:tc>
        <w:tc>
          <w:tcPr/>
          <w:p>
            <w:pPr>
              <w:pStyle w:val="Compact"/>
              <w:jc w:val="left"/>
            </w:pPr>
            <w:r>
              <w:t xml:space="preserve">Regulatory compliance review and tax optimization strategy aligned with Israeli Securities Authority (ISA) guidelines, prepared by the Financial Analyst based in Israel Jerusalem.</w:t>
            </w:r>
          </w:p>
        </w:tc>
        <w:tc>
          <w:tcPr/>
          <w:p>
            <w:pPr>
              <w:pStyle w:val="Compact"/>
              <w:jc w:val="left"/>
            </w:pPr>
            <w:r>
              <w:t xml:space="preserve">1,300</w:t>
            </w:r>
          </w:p>
        </w:tc>
        <w:tc>
          <w:tcPr/>
          <w:p>
            <w:pPr>
              <w:pStyle w:val="Compact"/>
              <w:jc w:val="left"/>
            </w:pPr>
            <w:r>
              <w:t xml:space="preserve">12</w:t>
            </w:r>
          </w:p>
        </w:tc>
        <w:tc>
          <w:tcPr/>
          <w:p>
            <w:pPr>
              <w:pStyle w:val="Compact"/>
              <w:jc w:val="left"/>
            </w:pPr>
            <w:r>
              <w:t xml:space="preserve">15,600.00</w:t>
            </w:r>
          </w:p>
        </w:tc>
        <w:tc>
          <w:tcPr/>
          <w:p>
            <w:pPr>
              <w:pStyle w:val="Compact"/>
              <w:jc w:val="left"/>
            </w:pPr>
            <w:r>
              <w:t xml:space="preserve">2,808.00</w:t>
            </w:r>
          </w:p>
        </w:tc>
      </w:tr>
      <w:tr>
        <w:tc>
          <w:tcPr/>
          <w:p>
            <w:pPr>
              <w:pStyle w:val="Compact"/>
              <w:jc w:val="left"/>
            </w:pPr>
            <w:r>
              <w:t xml:space="preserve">5</w:t>
            </w:r>
          </w:p>
        </w:tc>
        <w:tc>
          <w:tcPr/>
          <w:p>
            <w:pPr>
              <w:pStyle w:val="Compact"/>
              <w:jc w:val="left"/>
            </w:pPr>
            <w:r>
              <w:t xml:space="preserve">Board presentation preparation and executive summary drafting for the May 2025 quarterly review meeting held at the Israel Jerusalem corporate offices.</w:t>
            </w:r>
          </w:p>
        </w:tc>
        <w:tc>
          <w:tcPr/>
          <w:p>
            <w:pPr>
              <w:pStyle w:val="Compact"/>
              <w:jc w:val="left"/>
            </w:pPr>
            <w:r>
              <w:t xml:space="preserve">1,100</w:t>
            </w:r>
          </w:p>
        </w:tc>
        <w:tc>
          <w:tcPr/>
          <w:p>
            <w:pPr>
              <w:pStyle w:val="Compact"/>
              <w:jc w:val="left"/>
            </w:pPr>
            <w:r>
              <w:t xml:space="preserve">8</w:t>
            </w:r>
          </w:p>
        </w:tc>
        <w:tc>
          <w:tcPr/>
          <w:p>
            <w:pPr>
              <w:pStyle w:val="Compact"/>
              <w:jc w:val="left"/>
            </w:pPr>
            <w:r>
              <w:t xml:space="preserve">8,800.00</w:t>
            </w:r>
          </w:p>
        </w:tc>
        <w:tc>
          <w:tcPr/>
          <w:p>
            <w:pPr>
              <w:pStyle w:val="Compact"/>
              <w:jc w:val="left"/>
            </w:pPr>
            <w:r>
              <w:t xml:space="preserve">1,584.00</w:t>
            </w:r>
          </w:p>
        </w:tc>
      </w:tr>
    </w:tbl>
    <w:p>
      <w:pPr>
        <w:pStyle w:val="BodyText"/>
      </w:pPr>
      <w:r>
        <w:t xml:space="preserve">Subtotal (Excl. VAT):</w:t>
      </w:r>
      <w:r>
        <w:t xml:space="preserve">98,000.00 ILS</w:t>
      </w:r>
    </w:p>
    <w:p>
      <w:pPr>
        <w:pStyle w:val="BodyText"/>
      </w:pPr>
      <w:r>
        <w:t xml:space="preserve">VAT (18%):</w:t>
      </w:r>
      <w:r>
        <w:t xml:space="preserve">17,640.00 ILS</w:t>
      </w:r>
    </w:p>
    <w:p>
      <w:pPr>
        <w:pStyle w:val="BodyText"/>
      </w:pPr>
      <w:r>
        <w:t xml:space="preserve">Discount (Loyalty 5%):</w:t>
      </w:r>
      <w:r>
        <w:t xml:space="preserve">-4,900.00 ILS</w:t>
      </w:r>
    </w:p>
    <w:p>
      <w:pPr>
        <w:pStyle w:val="BodyText"/>
      </w:pPr>
      <w:r>
        <w:t xml:space="preserve">TOTAL DUE:</w:t>
      </w:r>
      <w:r>
        <w:t xml:space="preserve">110,740.00 ILS</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Bank Leumi, Israel Jerusalem Branch</w:t>
      </w:r>
    </w:p>
    <w:p>
      <w:pPr>
        <w:pStyle w:val="BodyText"/>
      </w:pPr>
      <w:r>
        <w:rPr>
          <w:bCs/>
          <w:b/>
        </w:rPr>
        <w:t xml:space="preserve">Account Name:</w:t>
      </w:r>
      <w:r>
        <w:t xml:space="preserve"> </w:t>
      </w:r>
      <w:r>
        <w:t xml:space="preserve">Levant Capital Advisory Group Ltd.</w:t>
      </w:r>
    </w:p>
    <w:p>
      <w:pPr>
        <w:pStyle w:val="BodyText"/>
      </w:pPr>
      <w:r>
        <w:rPr>
          <w:bCs/>
          <w:b/>
        </w:rPr>
        <w:t xml:space="preserve">Account No.:</w:t>
      </w:r>
      <w:r>
        <w:t xml:space="preserve"> </w:t>
      </w:r>
      <w:r>
        <w:t xml:space="preserve">001-000000-000000</w:t>
      </w:r>
    </w:p>
    <w:p>
      <w:pPr>
        <w:pStyle w:val="BodyText"/>
      </w:pPr>
      <w:r>
        <w:rPr>
          <w:bCs/>
          <w:b/>
        </w:rPr>
        <w:t xml:space="preserve">IBAN:</w:t>
      </w:r>
      <w:r>
        <w:t xml:space="preserve"> </w:t>
      </w:r>
      <w:r>
        <w:t xml:space="preserve">IL15 0100 0000 0000 0000 0000</w:t>
      </w:r>
    </w:p>
    <w:p>
      <w:pPr>
        <w:pStyle w:val="BodyText"/>
      </w:pPr>
      <w:r>
        <w:rPr>
          <w:bCs/>
          <w:b/>
        </w:rPr>
        <w:t xml:space="preserve">SWIFT/BIC:</w:t>
      </w:r>
      <w:r>
        <w:t xml:space="preserve"> </w:t>
      </w:r>
      <w:r>
        <w:t xml:space="preserve">LUMIIL2A</w:t>
      </w:r>
    </w:p>
    <w:p>
      <w:pPr>
        <w:pStyle w:val="BodyText"/>
      </w:pPr>
      <w:r>
        <w:rPr>
          <w:bCs/>
          <w:b/>
        </w:rPr>
        <w:t xml:space="preserve">Reference:</w:t>
      </w:r>
      <w:r>
        <w:t xml:space="preserve"> </w:t>
      </w:r>
      <w:r>
        <w:t xml:space="preserve">Please cite Invoice No. LCAG-2025-00472 in all payment communications.</w:t>
      </w:r>
    </w:p>
    <w:p>
      <w:pPr>
        <w:pStyle w:val="BodyText"/>
      </w:pPr>
      <w:r>
        <w:rPr>
          <w:bCs/>
          <w:b/>
        </w:rPr>
        <w:t xml:space="preserve">Payment Terms:</w:t>
      </w:r>
      <w:r>
        <w:t xml:space="preserve"> </w:t>
      </w:r>
      <w:r>
        <w:t xml:space="preserve">Net 15 days from the date of this Invoice. Late payments are subject to a penalty of 1.5% per month in accordance with Israeli commercial law.</w:t>
      </w:r>
    </w:p>
    <w:bookmarkEnd w:id="24"/>
    <w:bookmarkStart w:id="25" w:name="important-notes-terms"/>
    <w:p>
      <w:pPr>
        <w:pStyle w:val="Heading3"/>
      </w:pPr>
      <w:r>
        <w:t xml:space="preserve">Important Notes &amp; Terms</w:t>
      </w:r>
    </w:p>
    <w:p>
      <w:pPr>
        <w:pStyle w:val="FirstParagraph"/>
      </w:pPr>
      <w:r>
        <w:t xml:space="preserve">This Invoice represents the final billing for all Financial Analyst services rendered during the period of 01 May 2025 through 31 May 2025. All work was performed by Dr. Sarah Cohen, Senior Financial Analyst, at the Israel Jerusalem office of Levant Capital Advisory Group.</w:t>
      </w:r>
    </w:p>
    <w:p>
      <w:pPr>
        <w:pStyle w:val="BodyText"/>
      </w:pPr>
      <w:r>
        <w:t xml:space="preserve">The Financial Analyst engagement is governed by the Master Services Agreement (MSA) dated 01 January 2025, reference number MSA-2025-0012, executed between Levant Capital Advisory Group and Eilat Holdings Ltd. in Israel Jerusalem.</w:t>
      </w:r>
    </w:p>
    <w:p>
      <w:pPr>
        <w:pStyle w:val="BodyText"/>
      </w:pPr>
      <w:r>
        <w:t xml:space="preserve">All financial data, models, and analytical outputs produced by the Financial Analyst remain the intellectual property of Eilat Holdings Ltd. upon full settlement of this Invoice. The Israel Jerusalem office retains a copy for regulatory audit purposes in compliance with Israeli financial reporting standards.</w:t>
      </w:r>
    </w:p>
    <w:p>
      <w:pPr>
        <w:pStyle w:val="BodyText"/>
      </w:pPr>
      <w:r>
        <w:t xml:space="preserve">This Invoice is issued in accordance with the Israeli VAT Law, 5711-1975, and all applicable tax regulations of the State of Israel. The 18% VAT rate applied herein reflects the standard rate effective as of the date of issuance.</w:t>
      </w:r>
    </w:p>
    <w:p>
      <w:pPr>
        <w:pStyle w:val="BodyText"/>
      </w:pPr>
      <w:r>
        <w:t xml:space="preserve">Should you have any questions regarding this Invoice or the scope of Financial Analyst services provided, please contact our billing department in Israel Jerusalem within five (5) business days of the issue date. Disputes must be raised in writing to billing@levantcapital.co.il.</w:t>
      </w:r>
    </w:p>
    <w:p>
      <w:pPr>
        <w:pStyle w:val="BodyText"/>
      </w:pPr>
      <w:r>
        <w:t xml:space="preserve">Failure to remit payment by the due date stated above may result in the suspension of ongoing Financial Analyst services and the initiation of collection procedures under Israeli commercial law. The Israel Jerusalem office reserves the right to report outstanding balances to the relevant Israeli tax authorities.</w:t>
      </w:r>
    </w:p>
    <w:bookmarkEnd w:id="25"/>
    <w:p>
      <w:pPr>
        <w:pStyle w:val="BodyText"/>
      </w:pPr>
      <w:r>
        <w:rPr>
          <w:bCs/>
          <w:b/>
        </w:rPr>
        <w:t xml:space="preserve">Prepared By:</w:t>
      </w:r>
      <w:r>
        <w:br/>
      </w:r>
      <w:r>
        <w:t xml:space="preserve">Dr. Sarah Cohen, CFA</w:t>
      </w:r>
      <w:r>
        <w:br/>
      </w:r>
      <w:r>
        <w:t xml:space="preserve">Senior Financial Analyst</w:t>
      </w:r>
      <w:r>
        <w:br/>
      </w:r>
      <w:r>
        <w:t xml:space="preserve">Levant Capital Advisory Group, Israel Jerusalem</w:t>
      </w:r>
    </w:p>
    <w:p>
      <w:pPr>
        <w:pStyle w:val="BodyText"/>
      </w:pPr>
      <w:r>
        <w:rPr>
          <w:bCs/>
          <w:b/>
        </w:rPr>
        <w:t xml:space="preserve">Authorized Signatory:</w:t>
      </w:r>
      <w:r>
        <w:br/>
      </w:r>
      <w:r>
        <w:t xml:space="preserve">Mr. Yossi Ben-David</w:t>
      </w:r>
      <w:r>
        <w:br/>
      </w:r>
      <w:r>
        <w:t xml:space="preserve">Managing Director</w:t>
      </w:r>
      <w:r>
        <w:br/>
      </w:r>
      <w:r>
        <w:t xml:space="preserve">Levant Capital Advisory Group, Israel Jerusalem</w:t>
      </w:r>
    </w:p>
    <w:p>
      <w:pPr>
        <w:pStyle w:val="BodyText"/>
      </w:pPr>
      <w:r>
        <w:t xml:space="preserve">Levant Capital Advisory Group Ltd. | 12 King George Street, Jerusalem 9100000, Israel</w:t>
      </w:r>
    </w:p>
    <w:p>
      <w:pPr>
        <w:pStyle w:val="BodyText"/>
      </w:pPr>
      <w:r>
        <w:t xml:space="preserve">Registered in Israel under Company No. 51-234-567-8 | VAT: 51-234-567-8</w:t>
      </w:r>
    </w:p>
    <w:p>
      <w:pPr>
        <w:pStyle w:val="BodyText"/>
      </w:pPr>
      <w:r>
        <w:t xml:space="preserve">This Invoice was generated electronically and is valid without a physical signature. For verification, contact our Israel Jerusalem office.</w:t>
      </w:r>
    </w:p>
    <w:p>
      <w:pPr>
        <w:pStyle w:val="BodyText"/>
      </w:pPr>
      <w:r>
        <w:t xml:space="preserve">© 2025 Levant Capital Advisory Group. All rights reserved. Invoice LCAG-2025-00472.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Israel Jerusalem</dc:title>
  <dc:creator/>
  <dc:language>en</dc:language>
  <cp:keywords/>
  <dcterms:created xsi:type="dcterms:W3CDTF">2026-10-10T07:29:22Z</dcterms:created>
  <dcterms:modified xsi:type="dcterms:W3CDTF">2026-10-10T07:29:22Z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