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Japan</w:t>
      </w:r>
      <w:r>
        <w:t xml:space="preserve"> </w:t>
      </w:r>
      <w:r>
        <w:t xml:space="preserve">Kyoto</w:t>
      </w:r>
    </w:p>
    <w:p>
      <w:pPr>
        <w:pStyle w:val="FirstParagraph"/>
      </w:pPr>
      <w:r>
        <w:t xml:space="preserve">INVOICE</w:t>
      </w:r>
    </w:p>
    <w:p>
      <w:pPr>
        <w:pStyle w:val="BodyText"/>
      </w:pPr>
      <w:r>
        <w:t xml:space="preserve">Invoice No.: KYO-FA-2025-0487</w:t>
      </w:r>
    </w:p>
    <w:p>
      <w:pPr>
        <w:pStyle w:val="BodyText"/>
      </w:pPr>
      <w:r>
        <w:t xml:space="preserve">Date of Issue: June 15, 2025</w:t>
      </w:r>
    </w:p>
    <w:p>
      <w:pPr>
        <w:pStyle w:val="BodyText"/>
      </w:pPr>
      <w:r>
        <w:t xml:space="preserve">Due Date: July 15, 2025</w:t>
      </w:r>
    </w:p>
    <w:bookmarkStart w:id="20" w:name="kyoto-financial-analytics-group"/>
    <w:p>
      <w:pPr>
        <w:pStyle w:val="Heading2"/>
      </w:pPr>
      <w:r>
        <w:t xml:space="preserve">Kyoto Financial Analytics Group</w:t>
      </w:r>
    </w:p>
    <w:p>
      <w:pPr>
        <w:pStyle w:val="FirstParagraph"/>
      </w:pPr>
      <w:r>
        <w:t xml:space="preserve">Shijo-Dori 456-78, Gion-machi</w:t>
      </w:r>
    </w:p>
    <w:p>
      <w:pPr>
        <w:pStyle w:val="BodyText"/>
      </w:pPr>
      <w:r>
        <w:t xml:space="preserve">Higashiyama-ku, Japan Kyoto 605-0073</w:t>
      </w:r>
    </w:p>
    <w:p>
      <w:pPr>
        <w:pStyle w:val="BodyText"/>
      </w:pPr>
      <w:r>
        <w:t xml:space="preserve">Tel: +81-75-555-0142</w:t>
      </w:r>
    </w:p>
    <w:p>
      <w:pPr>
        <w:pStyle w:val="BodyText"/>
      </w:pPr>
      <w:r>
        <w:t xml:space="preserve">Email: billing@kyoto-fag.co.jp</w:t>
      </w:r>
    </w:p>
    <w:p>
      <w:pPr>
        <w:pStyle w:val="BodyText"/>
      </w:pPr>
      <w:r>
        <w:t xml:space="preserve">Corporate Number: 6010001234567</w:t>
      </w:r>
    </w:p>
    <w:bookmarkEnd w:id="20"/>
    <w:bookmarkStart w:id="21" w:name="prepared-by-service-provider"/>
    <w:p>
      <w:pPr>
        <w:pStyle w:val="Heading3"/>
      </w:pPr>
      <w:r>
        <w:t xml:space="preserve">Prepared By (Service Provider)</w:t>
      </w:r>
    </w:p>
    <w:p>
      <w:pPr>
        <w:pStyle w:val="FirstParagraph"/>
      </w:pPr>
      <w:r>
        <w:rPr>
          <w:bCs/>
          <w:b/>
        </w:rPr>
        <w:t xml:space="preserve">Financial Analyst:</w:t>
      </w:r>
      <w:r>
        <w:t xml:space="preserve"> </w:t>
      </w:r>
      <w:r>
        <w:t xml:space="preserve">Tanaka Hiroshi, CFA</w:t>
      </w:r>
    </w:p>
    <w:p>
      <w:pPr>
        <w:pStyle w:val="BodyText"/>
      </w:pPr>
      <w:r>
        <w:rPr>
          <w:bCs/>
          <w:b/>
        </w:rPr>
        <w:t xml:space="preserve">Title:</w:t>
      </w:r>
      <w:r>
        <w:t xml:space="preserve"> </w:t>
      </w:r>
      <w:r>
        <w:t xml:space="preserve">Senior Financial Analyst</w:t>
      </w:r>
    </w:p>
    <w:p>
      <w:pPr>
        <w:pStyle w:val="BodyText"/>
      </w:pPr>
      <w:r>
        <w:rPr>
          <w:bCs/>
          <w:b/>
        </w:rPr>
        <w:t xml:space="preserve">Department:</w:t>
      </w:r>
      <w:r>
        <w:t xml:space="preserve"> </w:t>
      </w:r>
      <w:r>
        <w:t xml:space="preserve">Corporate Advisory &amp; Valuation</w:t>
      </w:r>
    </w:p>
    <w:p>
      <w:pPr>
        <w:pStyle w:val="BodyText"/>
      </w:pPr>
      <w:r>
        <w:rPr>
          <w:bCs/>
          <w:b/>
        </w:rPr>
        <w:t xml:space="preserve">Address:</w:t>
      </w:r>
      <w:r>
        <w:t xml:space="preserve"> </w:t>
      </w:r>
      <w:r>
        <w:t xml:space="preserve">Shijo-Dori 456-78, Gion-machi, Higashiyama-ku, Japan Kyoto 605-0073</w:t>
      </w:r>
    </w:p>
    <w:p>
      <w:pPr>
        <w:pStyle w:val="BodyText"/>
      </w:pPr>
      <w:r>
        <w:rPr>
          <w:bCs/>
          <w:b/>
        </w:rPr>
        <w:t xml:space="preserve">Licence No.:</w:t>
      </w:r>
      <w:r>
        <w:t xml:space="preserve"> </w:t>
      </w:r>
      <w:r>
        <w:t xml:space="preserve">FA-JP-2019-8834</w:t>
      </w:r>
    </w:p>
    <w:bookmarkEnd w:id="21"/>
    <w:bookmarkStart w:id="22" w:name="billed-to-client"/>
    <w:p>
      <w:pPr>
        <w:pStyle w:val="Heading3"/>
      </w:pPr>
      <w:r>
        <w:t xml:space="preserve">Billed To (Client)</w:t>
      </w:r>
    </w:p>
    <w:p>
      <w:pPr>
        <w:pStyle w:val="FirstParagraph"/>
      </w:pPr>
      <w:r>
        <w:rPr>
          <w:bCs/>
          <w:b/>
        </w:rPr>
        <w:t xml:space="preserve">Company:</w:t>
      </w:r>
      <w:r>
        <w:t xml:space="preserve"> </w:t>
      </w:r>
      <w:r>
        <w:t xml:space="preserve">Arashiyama Technology Holdings K.K.</w:t>
      </w:r>
    </w:p>
    <w:p>
      <w:pPr>
        <w:pStyle w:val="BodyText"/>
      </w:pPr>
      <w:r>
        <w:rPr>
          <w:bCs/>
          <w:b/>
        </w:rPr>
        <w:t xml:space="preserve">Attn:</w:t>
      </w:r>
      <w:r>
        <w:t xml:space="preserve"> </w:t>
      </w:r>
      <w:r>
        <w:t xml:space="preserve">Mr. Sato Kenji, Chief Financial Officer</w:t>
      </w:r>
    </w:p>
    <w:p>
      <w:pPr>
        <w:pStyle w:val="BodyText"/>
      </w:pPr>
      <w:r>
        <w:rPr>
          <w:bCs/>
          <w:b/>
        </w:rPr>
        <w:t xml:space="preserve">Address:</w:t>
      </w:r>
      <w:r>
        <w:t xml:space="preserve"> </w:t>
      </w:r>
      <w:r>
        <w:t xml:space="preserve">12-34 Arashiyama-hongu, Ukyo-ku, Japan Kyoto 616-8501</w:t>
      </w:r>
    </w:p>
    <w:p>
      <w:pPr>
        <w:pStyle w:val="BodyText"/>
      </w:pPr>
      <w:r>
        <w:rPr>
          <w:bCs/>
          <w:b/>
        </w:rPr>
        <w:t xml:space="preserve">Tel:</w:t>
      </w:r>
      <w:r>
        <w:t xml:space="preserve"> </w:t>
      </w:r>
      <w:r>
        <w:t xml:space="preserve">+81-75-881-2200</w:t>
      </w:r>
    </w:p>
    <w:p>
      <w:pPr>
        <w:pStyle w:val="BodyText"/>
      </w:pPr>
      <w:r>
        <w:rPr>
          <w:bCs/>
          <w:b/>
        </w:rPr>
        <w:t xml:space="preserve">Client Ref:</w:t>
      </w:r>
      <w:r>
        <w:t xml:space="preserve"> </w:t>
      </w:r>
      <w:r>
        <w:t xml:space="preserve">ATH-2025-Q2-FA</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Purpose</w:t>
            </w:r>
          </w:p>
        </w:tc>
        <w:tc>
          <w:tcPr/>
          <w:p>
            <w:pPr>
              <w:pStyle w:val="Compact"/>
              <w:jc w:val="left"/>
            </w:pPr>
            <w:r>
              <w:t xml:space="preserve">Professional Financial Analyst services rendered for quarterly corporate valuation, portfolio risk assessment, and strategic investment advisory in the Japan Kyoto metropolitan business district.</w:t>
            </w:r>
          </w:p>
        </w:tc>
      </w:tr>
      <w:tr>
        <w:tc>
          <w:tcPr/>
          <w:p>
            <w:pPr>
              <w:pStyle w:val="Compact"/>
              <w:jc w:val="left"/>
            </w:pPr>
            <w:r>
              <w:t xml:space="preserve">Service Period</w:t>
            </w:r>
          </w:p>
        </w:tc>
        <w:tc>
          <w:tcPr/>
          <w:p>
            <w:pPr>
              <w:pStyle w:val="Compact"/>
              <w:jc w:val="left"/>
            </w:pPr>
            <w:r>
              <w:t xml:space="preserve">April 1, 2025 through May 31, 2025</w:t>
            </w:r>
          </w:p>
        </w:tc>
      </w:tr>
      <w:tr>
        <w:tc>
          <w:tcPr/>
          <w:p>
            <w:pPr>
              <w:pStyle w:val="Compact"/>
              <w:jc w:val="left"/>
            </w:pPr>
            <w:r>
              <w:t xml:space="preserve">Currency</w:t>
            </w:r>
          </w:p>
        </w:tc>
        <w:tc>
          <w:tcPr/>
          <w:p>
            <w:pPr>
              <w:pStyle w:val="Compact"/>
              <w:jc w:val="left"/>
            </w:pPr>
            <w:r>
              <w:t xml:space="preserve">Japanese Yen (JPY / ¥)</w:t>
            </w:r>
          </w:p>
        </w:tc>
      </w:tr>
      <w:tr>
        <w:tc>
          <w:tcPr/>
          <w:p>
            <w:pPr>
              <w:pStyle w:val="Compact"/>
              <w:jc w:val="left"/>
            </w:pPr>
            <w:r>
              <w:t xml:space="preserve">Tax Treatment</w:t>
            </w:r>
          </w:p>
        </w:tc>
        <w:tc>
          <w:tcPr/>
          <w:p>
            <w:pPr>
              <w:pStyle w:val="Compact"/>
              <w:jc w:val="left"/>
            </w:pPr>
            <w:r>
              <w:t xml:space="preserve">Consumption Tax (10%) applicable per Japan Kyoto municipal and national tax regulations</w:t>
            </w:r>
          </w:p>
        </w:tc>
      </w:tr>
    </w:tbl>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Financial Analyst Services</w:t>
            </w:r>
          </w:p>
        </w:tc>
        <w:tc>
          <w:tcPr/>
          <w:p>
            <w:pPr>
              <w:pStyle w:val="Compact"/>
              <w:jc w:val="left"/>
            </w:pPr>
            <w:r>
              <w:t xml:space="preserve">Hours / Units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Quarterly Financial Statement Analysis &amp; Ratio Assessment for Arashiyama Technology Holdings K.K. conducted by the assigned Financial Analyst in Japan Kyoto</w:t>
            </w:r>
          </w:p>
        </w:tc>
        <w:tc>
          <w:tcPr/>
          <w:p>
            <w:pPr>
              <w:pStyle w:val="Compact"/>
              <w:jc w:val="left"/>
            </w:pPr>
            <w:r>
              <w:t xml:space="preserve">40 hrs</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02</w:t>
            </w:r>
          </w:p>
        </w:tc>
        <w:tc>
          <w:tcPr/>
          <w:p>
            <w:pPr>
              <w:pStyle w:val="Compact"/>
              <w:jc w:val="left"/>
            </w:pPr>
            <w:r>
              <w:t xml:space="preserve">Portfolio Risk Modelling and Monte Carlo Simulation for the client's diversified investment holdings, prepared by the Financial Analyst team based in Japan Kyoto</w:t>
            </w:r>
          </w:p>
        </w:tc>
        <w:tc>
          <w:tcPr/>
          <w:p>
            <w:pPr>
              <w:pStyle w:val="Compact"/>
              <w:jc w:val="left"/>
            </w:pPr>
            <w:r>
              <w:t xml:space="preserve">32 hrs</w:t>
            </w:r>
          </w:p>
        </w:tc>
        <w:tc>
          <w:tcPr/>
          <w:p>
            <w:pPr>
              <w:pStyle w:val="Compact"/>
              <w:jc w:val="left"/>
            </w:pPr>
            <w:r>
              <w:t xml:space="preserve">¥22,000</w:t>
            </w:r>
          </w:p>
        </w:tc>
        <w:tc>
          <w:tcPr/>
          <w:p>
            <w:pPr>
              <w:pStyle w:val="Compact"/>
              <w:jc w:val="left"/>
            </w:pPr>
            <w:r>
              <w:t xml:space="preserve">¥704,000</w:t>
            </w:r>
          </w:p>
        </w:tc>
      </w:tr>
      <w:tr>
        <w:tc>
          <w:tcPr/>
          <w:p>
            <w:pPr>
              <w:pStyle w:val="Compact"/>
              <w:jc w:val="left"/>
            </w:pPr>
            <w:r>
              <w:t xml:space="preserve">03</w:t>
            </w:r>
          </w:p>
        </w:tc>
        <w:tc>
          <w:tcPr/>
          <w:p>
            <w:pPr>
              <w:pStyle w:val="Compact"/>
              <w:jc w:val="left"/>
            </w:pPr>
            <w:r>
              <w:t xml:space="preserve">Strategic Investment Advisory and Due Diligence Report for proposed acquisition of a semiconductor manufacturing facility in the Japan Kyoto industrial corridor</w:t>
            </w:r>
          </w:p>
        </w:tc>
        <w:tc>
          <w:tcPr/>
          <w:p>
            <w:pPr>
              <w:pStyle w:val="Compact"/>
              <w:jc w:val="left"/>
            </w:pPr>
            <w:r>
              <w:t xml:space="preserve">56 hrs</w:t>
            </w:r>
          </w:p>
        </w:tc>
        <w:tc>
          <w:tcPr/>
          <w:p>
            <w:pPr>
              <w:pStyle w:val="Compact"/>
              <w:jc w:val="left"/>
            </w:pPr>
            <w:r>
              <w:t xml:space="preserve">¥25,000</w:t>
            </w:r>
          </w:p>
        </w:tc>
        <w:tc>
          <w:tcPr/>
          <w:p>
            <w:pPr>
              <w:pStyle w:val="Compact"/>
              <w:jc w:val="left"/>
            </w:pPr>
            <w:r>
              <w:t xml:space="preserve">¥1,400,000</w:t>
            </w:r>
          </w:p>
        </w:tc>
      </w:tr>
      <w:tr>
        <w:tc>
          <w:tcPr/>
          <w:p>
            <w:pPr>
              <w:pStyle w:val="Compact"/>
              <w:jc w:val="left"/>
            </w:pPr>
            <w:r>
              <w:t xml:space="preserve">04</w:t>
            </w:r>
          </w:p>
        </w:tc>
        <w:tc>
          <w:tcPr/>
          <w:p>
            <w:pPr>
              <w:pStyle w:val="Compact"/>
              <w:jc w:val="left"/>
            </w:pPr>
            <w:r>
              <w:t xml:space="preserve">Regulatory Compliance Review and Tax Implication Analysis under Japan Kyoto local fiscal policies, performed by the certified Financial Analyst</w:t>
            </w:r>
          </w:p>
        </w:tc>
        <w:tc>
          <w:tcPr/>
          <w:p>
            <w:pPr>
              <w:pStyle w:val="Compact"/>
              <w:jc w:val="left"/>
            </w:pPr>
            <w:r>
              <w:t xml:space="preserve">24 hrs</w:t>
            </w:r>
          </w:p>
        </w:tc>
        <w:tc>
          <w:tcPr/>
          <w:p>
            <w:pPr>
              <w:pStyle w:val="Compact"/>
              <w:jc w:val="left"/>
            </w:pPr>
            <w:r>
              <w:t xml:space="preserve">¥20,000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On-site Consultation and Presentation of Financial Analyst findings to the Board of Directors at the client's Japan Kyoto headquarters</w:t>
            </w:r>
          </w:p>
        </w:tc>
        <w:tc>
          <w:tcPr/>
          <w:p>
            <w:pPr>
              <w:pStyle w:val="Compact"/>
              <w:jc w:val="left"/>
            </w:pPr>
            <w:r>
              <w:t xml:space="preserve">8 hrs</w:t>
            </w:r>
          </w:p>
        </w:tc>
        <w:tc>
          <w:tcPr/>
          <w:p>
            <w:pPr>
              <w:pStyle w:val="Compact"/>
              <w:jc w:val="left"/>
            </w:pPr>
            <w:r>
              <w:t xml:space="preserve">¥30,000</w:t>
            </w:r>
          </w:p>
        </w:tc>
        <w:tc>
          <w:tcPr/>
          <w:p>
            <w:pPr>
              <w:pStyle w:val="Compact"/>
              <w:jc w:val="left"/>
            </w:pPr>
            <w:r>
              <w:t xml:space="preserve">¥240,000</w:t>
            </w:r>
          </w:p>
        </w:tc>
      </w:tr>
      <w:tr>
        <w:tc>
          <w:tcPr/>
          <w:p>
            <w:pPr>
              <w:pStyle w:val="Compact"/>
              <w:jc w:val="left"/>
            </w:pPr>
            <w:r>
              <w:t xml:space="preserve">06</w:t>
            </w:r>
          </w:p>
        </w:tc>
        <w:tc>
          <w:tcPr/>
          <w:p>
            <w:pPr>
              <w:pStyle w:val="Compact"/>
              <w:jc w:val="left"/>
            </w:pPr>
            <w:r>
              <w:t xml:space="preserve">Preparation of Comprehensive Annual Forecast Model and Sensitivity Analysis, delivered as a formal report by the Financial Analyst division in Japan Kyoto</w:t>
            </w:r>
          </w:p>
        </w:tc>
        <w:tc>
          <w:tcPr/>
          <w:p>
            <w:pPr>
              <w:pStyle w:val="Compact"/>
              <w:jc w:val="left"/>
            </w:pPr>
            <w:r>
              <w:t xml:space="preserve">36 hrs</w:t>
            </w:r>
          </w:p>
        </w:tc>
        <w:tc>
          <w:tcPr/>
          <w:p>
            <w:pPr>
              <w:pStyle w:val="Compact"/>
              <w:jc w:val="left"/>
            </w:pPr>
            <w:r>
              <w:t xml:space="preserve">¥19,500</w:t>
            </w:r>
          </w:p>
        </w:tc>
        <w:tc>
          <w:tcPr/>
          <w:p>
            <w:pPr>
              <w:pStyle w:val="Compact"/>
              <w:jc w:val="left"/>
            </w:pPr>
            <w:r>
              <w:t xml:space="preserve">¥702,000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¥4,246,000</w:t>
            </w:r>
          </w:p>
        </w:tc>
      </w:tr>
      <w:tr>
        <w:tc>
          <w:tcPr/>
          <w:p>
            <w:pPr>
              <w:pStyle w:val="Compact"/>
              <w:jc w:val="left"/>
            </w:pPr>
            <w:r>
              <w:t xml:space="preserve">Consumption Tax (10%)</w:t>
            </w:r>
          </w:p>
        </w:tc>
        <w:tc>
          <w:tcPr/>
          <w:p>
            <w:pPr>
              <w:pStyle w:val="Compact"/>
              <w:jc w:val="left"/>
            </w:pPr>
            <w:r>
              <w:t xml:space="preserve">¥424,600</w:t>
            </w:r>
          </w:p>
        </w:tc>
      </w:tr>
      <w:tr>
        <w:tc>
          <w:tcPr/>
          <w:p>
            <w:pPr>
              <w:pStyle w:val="Compact"/>
              <w:jc w:val="left"/>
            </w:pPr>
            <w:r>
              <w:t xml:space="preserve">Japan Kyoto Municipal Service Surcharge (2%)</w:t>
            </w:r>
          </w:p>
        </w:tc>
        <w:tc>
          <w:tcPr/>
          <w:p>
            <w:pPr>
              <w:pStyle w:val="Compact"/>
              <w:jc w:val="left"/>
            </w:pPr>
            <w:r>
              <w:t xml:space="preserve">¥84,920</w:t>
            </w:r>
          </w:p>
        </w:tc>
      </w:tr>
      <w:tr>
        <w:tc>
          <w:tcPr/>
          <w:p>
            <w:pPr>
              <w:pStyle w:val="Compact"/>
              <w:jc w:val="left"/>
            </w:pPr>
            <w:r>
              <w:t xml:space="preserve">Total Amount Due</w:t>
            </w:r>
          </w:p>
        </w:tc>
        <w:tc>
          <w:tcPr/>
          <w:p>
            <w:pPr>
              <w:pStyle w:val="Compact"/>
              <w:jc w:val="left"/>
            </w:pPr>
            <w:r>
              <w:t xml:space="preserve">¥4,755,520</w:t>
            </w:r>
          </w:p>
        </w:tc>
      </w:tr>
    </w:tbl>
    <w:bookmarkStart w:id="23" w:name="payment-instructions"/>
    <w:p>
      <w:pPr>
        <w:pStyle w:val="Heading3"/>
      </w:pPr>
      <w:r>
        <w:t xml:space="preserve">Payment Instructions</w:t>
      </w:r>
    </w:p>
    <w:p>
      <w:pPr>
        <w:pStyle w:val="FirstParagraph"/>
      </w:pPr>
      <w:r>
        <w:rPr>
          <w:bCs/>
          <w:b/>
        </w:rPr>
        <w:t xml:space="preserve">Bank:</w:t>
      </w:r>
      <w:r>
        <w:t xml:space="preserve"> </w:t>
      </w:r>
      <w:r>
        <w:t xml:space="preserve">Mizuho Bank, Japan Kyoto Central Branch</w:t>
      </w:r>
    </w:p>
    <w:p>
      <w:pPr>
        <w:pStyle w:val="BodyText"/>
      </w:pPr>
      <w:r>
        <w:rPr>
          <w:bCs/>
          <w:b/>
        </w:rPr>
        <w:t xml:space="preserve">Account Name:</w:t>
      </w:r>
      <w:r>
        <w:t xml:space="preserve"> </w:t>
      </w:r>
      <w:r>
        <w:t xml:space="preserve">Kyoto Financial Analytics Group</w:t>
      </w:r>
    </w:p>
    <w:p>
      <w:pPr>
        <w:pStyle w:val="BodyText"/>
      </w:pPr>
      <w:r>
        <w:rPr>
          <w:bCs/>
          <w:b/>
        </w:rPr>
        <w:t xml:space="preserve">Account Number:</w:t>
      </w:r>
      <w:r>
        <w:t xml:space="preserve"> </w:t>
      </w:r>
      <w:r>
        <w:t xml:space="preserve">123-4-567890</w:t>
      </w:r>
    </w:p>
    <w:p>
      <w:pPr>
        <w:pStyle w:val="BodyText"/>
      </w:pPr>
      <w:r>
        <w:rPr>
          <w:bCs/>
          <w:b/>
        </w:rPr>
        <w:t xml:space="preserve">SWIFT Code:</w:t>
      </w:r>
      <w:r>
        <w:t xml:space="preserve"> </w:t>
      </w:r>
      <w:r>
        <w:t xml:space="preserve">MHCBJ22</w:t>
      </w:r>
    </w:p>
    <w:p>
      <w:pPr>
        <w:pStyle w:val="BodyText"/>
      </w:pPr>
      <w:r>
        <w:rPr>
          <w:bCs/>
          <w:b/>
        </w:rPr>
        <w:t xml:space="preserve">Payment Method:</w:t>
      </w:r>
      <w:r>
        <w:t xml:space="preserve"> </w:t>
      </w:r>
      <w:r>
        <w:t xml:space="preserve">Bank Transfer (Zenshin) or Check payable to Kyoto Financial Analytics Group</w:t>
      </w:r>
    </w:p>
    <w:p>
      <w:pPr>
        <w:pStyle w:val="BodyText"/>
      </w:pPr>
      <w:r>
        <w:rPr>
          <w:bCs/>
          <w:b/>
        </w:rPr>
        <w:t xml:space="preserve">Remittance Reference:</w:t>
      </w:r>
      <w:r>
        <w:t xml:space="preserve"> </w:t>
      </w:r>
      <w:r>
        <w:t xml:space="preserve">Please cite Invoice No. KYO-FA-2025-0487 on all payment instruments.</w:t>
      </w:r>
    </w:p>
    <w:p>
      <w:pPr>
        <w:pStyle w:val="BodyText"/>
      </w:pPr>
      <w:r>
        <w:rPr>
          <w:bCs/>
          <w:b/>
        </w:rPr>
        <w:t xml:space="preserve">Overdue Penalty:</w:t>
      </w:r>
      <w:r>
        <w:t xml:space="preserve"> </w:t>
      </w:r>
      <w:r>
        <w:t xml:space="preserve">A late payment interest of 1.5% per month shall apply to any balance outstanding beyond the due date of July 15, 2025, in accordance with Japan Kyoto commercial practice.</w:t>
      </w:r>
    </w:p>
    <w:bookmarkEnd w:id="23"/>
    <w:bookmarkStart w:id="24" w:name="important-notes-regarding-this-invoice"/>
    <w:p>
      <w:pPr>
        <w:pStyle w:val="Heading3"/>
      </w:pPr>
      <w:r>
        <w:t xml:space="preserve">Important Notes Regarding This Invoice</w:t>
      </w:r>
    </w:p>
    <w:p>
      <w:pPr>
        <w:pStyle w:val="FirstParagraph"/>
      </w:pPr>
      <w:r>
        <w:t xml:space="preserve">1. This Invoice has been prepared and issued by Kyoto Financial Analytics Group, a registered professional services firm operating in Japan Kyoto. All Financial Analyst services described herein were performed in full compliance with the Japan Securities and Exchange Law and the Japan Kyoto local business licensing regulations.</w:t>
      </w:r>
    </w:p>
    <w:p>
      <w:pPr>
        <w:pStyle w:val="BodyText"/>
      </w:pPr>
      <w:r>
        <w:t xml:space="preserve">2. The Financial Analyst named on this Invoice, Mr. Tanaka Hiroshi, holds a valid Chartered Financial Analyst (CFA) designation and a Japan-registered Financial Analyst licence. All analyses, models, and reports referenced in this Invoice were produced under his direct professional supervision.</w:t>
      </w:r>
    </w:p>
    <w:p>
      <w:pPr>
        <w:pStyle w:val="BodyText"/>
      </w:pPr>
      <w:r>
        <w:t xml:space="preserve">3. This Invoice is valid for a period of ninety (90) days from the date of issue. The client is requested to settle the full amount by the stated due date to avoid any additional charges or service interruptions.</w:t>
      </w:r>
    </w:p>
    <w:p>
      <w:pPr>
        <w:pStyle w:val="BodyText"/>
      </w:pPr>
      <w:r>
        <w:t xml:space="preserve">4. All deliverables associated with this Invoice, including the quarterly valuation report, risk simulation outputs, due diligence documentation, and the annual forecast model, have been delivered to the client's Japan Kyoto office on May 30, 2025, and acknowledged in writing by the client's CFO.</w:t>
      </w:r>
    </w:p>
    <w:p>
      <w:pPr>
        <w:pStyle w:val="BodyText"/>
      </w:pPr>
      <w:r>
        <w:t xml:space="preserve">5. In the event of any dispute regarding the services rendered or the amounts stated on this Invoice, the parties agree to resolve the matter through mediation in Japan Kyoto before pursuing any formal legal proceedings.</w:t>
      </w:r>
    </w:p>
    <w:p>
      <w:pPr>
        <w:pStyle w:val="BodyText"/>
      </w:pPr>
      <w:r>
        <w:t xml:space="preserve">6. This Invoice constitutes a legally binding document under the Civil Code of Japan. Retain this document for your corporate tax filing records in Japan Kyoto for a minimum of seven (7) years as required by the National Tax Agency.</w:t>
      </w:r>
    </w:p>
    <w:bookmarkEnd w:id="24"/>
    <w:p>
      <w:pPr>
        <w:pStyle w:val="BodyText"/>
      </w:pPr>
      <w:r>
        <w:t xml:space="preserve">Authorized Signature of Financial Analyst:</w:t>
      </w:r>
    </w:p>
    <w:p>
      <w:pPr>
        <w:pStyle w:val="BodyText"/>
      </w:pPr>
      <w:r>
        <w:t xml:space="preserve">Tanaka Hiroshi, CFA</w:t>
      </w:r>
    </w:p>
    <w:p>
      <w:pPr>
        <w:pStyle w:val="BodyText"/>
      </w:pPr>
      <w:r>
        <w:t xml:space="preserve">Senior Financial Analyst, Kyoto Financial Analytics Group</w:t>
      </w:r>
    </w:p>
    <w:p>
      <w:pPr>
        <w:pStyle w:val="BodyText"/>
      </w:pPr>
      <w:r>
        <w:t xml:space="preserve">[Company Seal / Hanko Stamp Affixed Here]</w:t>
      </w:r>
    </w:p>
    <w:p>
      <w:pPr>
        <w:pStyle w:val="BodyText"/>
      </w:pPr>
      <w:r>
        <w:rPr>
          <w:bCs/>
          <w:b/>
        </w:rPr>
        <w:t xml:space="preserve">Kyoto Financial Analytics Group</w:t>
      </w:r>
      <w:r>
        <w:t xml:space="preserve"> </w:t>
      </w:r>
      <w:r>
        <w:t xml:space="preserve">| Shijo-Dori 456-78, Gion-machi, Higashiyama-ku, Japan Kyoto 605-0073</w:t>
      </w:r>
    </w:p>
    <w:p>
      <w:pPr>
        <w:pStyle w:val="BodyText"/>
      </w:pPr>
      <w:r>
        <w:t xml:space="preserve">This Invoice was generated electronically and is valid without a physical signature. For verification, contact billing@kyoto-fag.co.jp or +81-75-555-0142.</w:t>
      </w:r>
    </w:p>
    <w:p>
      <w:pPr>
        <w:pStyle w:val="BodyText"/>
      </w:pPr>
      <w:r>
        <w:t xml:space="preserve">Thank you for engaging our Financial Analyst services in Japan Kyoto. We look forward to continuing our professional relationship.</w:t>
      </w:r>
    </w:p>
    <w:p>
      <w:pPr>
        <w:pStyle w:val="BodyText"/>
      </w:pPr>
      <w:r>
        <w:t xml:space="preserve">© 2025 Kyoto Financial Analytics Group. All rights reserved. Invoice KYO-FA-2025-0487.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Japan Kyoto</dc:title>
  <dc:creator/>
  <dc:language>en</dc:language>
  <cp:keywords/>
  <dcterms:created xsi:type="dcterms:W3CDTF">2026-10-10T08:38:29Z</dcterms:created>
  <dcterms:modified xsi:type="dcterms:W3CDTF">2026-10-10T08:38:29Z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