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financial-advisory-group-llp"/>
    <w:p>
      <w:pPr>
        <w:pStyle w:val="Heading1"/>
      </w:pPr>
      <w:r>
        <w:t xml:space="preserve">Almaty Financial Advisory Group LLP</w:t>
      </w:r>
    </w:p>
    <w:p>
      <w:pPr>
        <w:pStyle w:val="FirstParagraph"/>
      </w:pPr>
      <w:r>
        <w:t xml:space="preserve">128 Abai Avenue, Office 412, Almaty, 050040, Kazakhstan</w:t>
      </w:r>
    </w:p>
    <w:p>
      <w:pPr>
        <w:pStyle w:val="BodyText"/>
      </w:pPr>
      <w:r>
        <w:t xml:space="preserve">BIN: 990740012345 | IIN: 990740012345</w:t>
      </w:r>
    </w:p>
    <w:p>
      <w:pPr>
        <w:pStyle w:val="BodyText"/>
      </w:pPr>
      <w:r>
        <w:t xml:space="preserve">Tel: +7 (727) 312-45-67 | Email: billing@afag-kz.com</w:t>
      </w:r>
    </w:p>
    <w:p>
      <w:pPr>
        <w:pStyle w:val="BodyText"/>
      </w:pPr>
      <w:r>
        <w:t xml:space="preserve">Bank: JSC Halyk Bank | IBAN: KZ85 9900 0000 0000 1234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AFAG-2025-00847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KZT (Kazakhstani Tenge)</w:t>
      </w:r>
    </w:p>
    <w:bookmarkEnd w:id="21"/>
    <w:bookmarkStart w:id="22" w:name="billed-by-service-provider"/>
    <w:p>
      <w:pPr>
        <w:pStyle w:val="Heading3"/>
      </w:pPr>
      <w:r>
        <w:t xml:space="preserve">Billed By (Service Provider)</w:t>
      </w:r>
    </w:p>
    <w:p>
      <w:pPr>
        <w:pStyle w:val="FirstParagraph"/>
      </w:pPr>
      <w:r>
        <w:rPr>
          <w:bCs/>
          <w:b/>
        </w:rPr>
        <w:t xml:space="preserve">Almaty Financial Advisory Group LLP</w:t>
      </w:r>
    </w:p>
    <w:p>
      <w:pPr>
        <w:pStyle w:val="BodyText"/>
      </w:pPr>
      <w:r>
        <w:t xml:space="preserve">128 Abai Avenue, Office 412</w:t>
      </w:r>
    </w:p>
    <w:p>
      <w:pPr>
        <w:pStyle w:val="BodyText"/>
      </w:pPr>
      <w:r>
        <w:t xml:space="preserve">Almaty, 050040, Kazakhstan</w:t>
      </w:r>
    </w:p>
    <w:p>
      <w:pPr>
        <w:pStyle w:val="BodyText"/>
      </w:pPr>
      <w:r>
        <w:t xml:space="preserve">BIN: 990740012345</w:t>
      </w:r>
    </w:p>
    <w:p>
      <w:pPr>
        <w:pStyle w:val="BodyText"/>
      </w:pPr>
      <w:r>
        <w:t xml:space="preserve">Contact: Aigerim Nurlanova, CFO</w:t>
      </w:r>
    </w:p>
    <w:bookmarkEnd w:id="22"/>
    <w:bookmarkStart w:id="23" w:name="billed-to-client"/>
    <w:p>
      <w:pPr>
        <w:pStyle w:val="Heading3"/>
      </w:pPr>
      <w:r>
        <w:t xml:space="preserve">Billed To (Client)</w:t>
      </w:r>
    </w:p>
    <w:p>
      <w:pPr>
        <w:pStyle w:val="FirstParagraph"/>
      </w:pPr>
      <w:r>
        <w:rPr>
          <w:bCs/>
          <w:b/>
        </w:rPr>
        <w:t xml:space="preserve">Tengri Industrial Holdings JSC</w:t>
      </w:r>
    </w:p>
    <w:p>
      <w:pPr>
        <w:pStyle w:val="BodyText"/>
      </w:pPr>
      <w:r>
        <w:t xml:space="preserve">45 Dostyk Avenue, Floor 18</w:t>
      </w:r>
    </w:p>
    <w:p>
      <w:pPr>
        <w:pStyle w:val="BodyText"/>
      </w:pPr>
      <w:r>
        <w:t xml:space="preserve">Almaty, 050000, Kazakhstan</w:t>
      </w:r>
    </w:p>
    <w:p>
      <w:pPr>
        <w:pStyle w:val="BodyText"/>
      </w:pPr>
      <w:r>
        <w:t xml:space="preserve">BIN: 990145067890</w:t>
      </w:r>
    </w:p>
    <w:p>
      <w:pPr>
        <w:pStyle w:val="BodyText"/>
      </w:pPr>
      <w:r>
        <w:t xml:space="preserve">Contact: Dauren Bekzhanov, Director of Finance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(KZT)</w:t>
            </w:r>
          </w:p>
        </w:tc>
        <w:tc>
          <w:tcPr/>
          <w:p>
            <w:pPr>
              <w:pStyle w:val="Compact"/>
              <w:jc w:val="left"/>
            </w:pPr>
            <w:r>
              <w:t xml:space="preserve">Hours</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Senior Financial Analyst – Quarterly Financial Statement Analysis &amp; Variance Reporting for Q1 2025 operations in Kazakhstan Almaty market</w:t>
            </w:r>
          </w:p>
        </w:tc>
        <w:tc>
          <w:tcPr/>
          <w:p>
            <w:pPr>
              <w:pStyle w:val="Compact"/>
              <w:jc w:val="left"/>
            </w:pPr>
            <w:r>
              <w:t xml:space="preserve">Jan – Mar 2025</w:t>
            </w:r>
          </w:p>
        </w:tc>
        <w:tc>
          <w:tcPr/>
          <w:p>
            <w:pPr>
              <w:pStyle w:val="Compact"/>
              <w:jc w:val="left"/>
            </w:pPr>
            <w:r>
              <w:t xml:space="preserve">45,000</w:t>
            </w:r>
          </w:p>
        </w:tc>
        <w:tc>
          <w:tcPr/>
          <w:p>
            <w:pPr>
              <w:pStyle w:val="Compact"/>
              <w:jc w:val="left"/>
            </w:pPr>
            <w:r>
              <w:t xml:space="preserve">80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Financial Analyst – Budget Forecasting &amp; Cash Flow Modelling for FY2025–2026 corporate planning cycle</w:t>
            </w:r>
          </w:p>
        </w:tc>
        <w:tc>
          <w:tcPr/>
          <w:p>
            <w:pPr>
              <w:pStyle w:val="Compact"/>
              <w:jc w:val="left"/>
            </w:pPr>
            <w:r>
              <w:t xml:space="preserve">Apr – May 2025</w:t>
            </w:r>
          </w:p>
        </w:tc>
        <w:tc>
          <w:tcPr/>
          <w:p>
            <w:pPr>
              <w:pStyle w:val="Compact"/>
              <w:jc w:val="left"/>
            </w:pPr>
            <w:r>
              <w:t xml:space="preserve">45,000</w:t>
            </w:r>
          </w:p>
        </w:tc>
        <w:tc>
          <w:tcPr/>
          <w:p>
            <w:pPr>
              <w:pStyle w:val="Compact"/>
              <w:jc w:val="left"/>
            </w:pPr>
            <w:r>
              <w:t xml:space="preserve">64</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Financial Analyst – Investment Portfolio Performance Review &amp; Risk Assessment for Kazakhstan Almaty regional assets</w:t>
            </w:r>
          </w:p>
        </w:tc>
        <w:tc>
          <w:tcPr/>
          <w:p>
            <w:pPr>
              <w:pStyle w:val="Compact"/>
              <w:jc w:val="left"/>
            </w:pPr>
            <w:r>
              <w:t xml:space="preserve">May 2025</w:t>
            </w:r>
          </w:p>
        </w:tc>
        <w:tc>
          <w:tcPr/>
          <w:p>
            <w:pPr>
              <w:pStyle w:val="Compact"/>
              <w:jc w:val="left"/>
            </w:pPr>
            <w:r>
              <w:t xml:space="preserve">50,000</w:t>
            </w:r>
          </w:p>
        </w:tc>
        <w:tc>
          <w:tcPr/>
          <w:p>
            <w:pPr>
              <w:pStyle w:val="Compact"/>
              <w:jc w:val="left"/>
            </w:pPr>
            <w:r>
              <w:t xml:space="preserve">40</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Financial Analyst – Regulatory Compliance Audit Support (National Bank of Kazakhstan reporting requirements)</w:t>
            </w:r>
          </w:p>
        </w:tc>
        <w:tc>
          <w:tcPr/>
          <w:p>
            <w:pPr>
              <w:pStyle w:val="Compact"/>
              <w:jc w:val="left"/>
            </w:pPr>
            <w:r>
              <w:t xml:space="preserve">Jun 2025</w:t>
            </w:r>
          </w:p>
        </w:tc>
        <w:tc>
          <w:tcPr/>
          <w:p>
            <w:pPr>
              <w:pStyle w:val="Compact"/>
              <w:jc w:val="left"/>
            </w:pPr>
            <w:r>
              <w:t xml:space="preserve">48,000</w:t>
            </w:r>
          </w:p>
        </w:tc>
        <w:tc>
          <w:tcPr/>
          <w:p>
            <w:pPr>
              <w:pStyle w:val="Compact"/>
              <w:jc w:val="left"/>
            </w:pPr>
            <w:r>
              <w:t xml:space="preserve">32</w:t>
            </w:r>
          </w:p>
        </w:tc>
        <w:tc>
          <w:tcPr/>
          <w:p>
            <w:pPr>
              <w:pStyle w:val="Compact"/>
              <w:jc w:val="left"/>
            </w:pPr>
            <w:r>
              <w:t xml:space="preserve">1,536,000</w:t>
            </w:r>
          </w:p>
        </w:tc>
      </w:tr>
      <w:tr>
        <w:tc>
          <w:tcPr/>
          <w:p>
            <w:pPr>
              <w:pStyle w:val="Compact"/>
              <w:jc w:val="left"/>
            </w:pPr>
            <w:r>
              <w:t xml:space="preserve">5</w:t>
            </w:r>
          </w:p>
        </w:tc>
        <w:tc>
          <w:tcPr/>
          <w:p>
            <w:pPr>
              <w:pStyle w:val="Compact"/>
              <w:jc w:val="left"/>
            </w:pPr>
            <w:r>
              <w:t xml:space="preserve">Financial Analyst – Ad-hoc Adverse Event Analysis &amp; Executive Board Presentation Preparation</w:t>
            </w:r>
          </w:p>
        </w:tc>
        <w:tc>
          <w:tcPr/>
          <w:p>
            <w:pPr>
              <w:pStyle w:val="Compact"/>
              <w:jc w:val="left"/>
            </w:pPr>
            <w:r>
              <w:t xml:space="preserve">Jun 2025</w:t>
            </w:r>
          </w:p>
        </w:tc>
        <w:tc>
          <w:tcPr/>
          <w:p>
            <w:pPr>
              <w:pStyle w:val="Compact"/>
              <w:jc w:val="left"/>
            </w:pPr>
            <w:r>
              <w:t xml:space="preserve">52,000</w:t>
            </w:r>
          </w:p>
        </w:tc>
        <w:tc>
          <w:tcPr/>
          <w:p>
            <w:pPr>
              <w:pStyle w:val="Compact"/>
              <w:jc w:val="left"/>
            </w:pPr>
            <w:r>
              <w:t xml:space="preserve">16</w:t>
            </w:r>
          </w:p>
        </w:tc>
        <w:tc>
          <w:tcPr/>
          <w:p>
            <w:pPr>
              <w:pStyle w:val="Compact"/>
              <w:jc w:val="left"/>
            </w:pPr>
            <w:r>
              <w:t xml:space="preserve">832,000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10,848,000.00 KZT</w:t>
            </w:r>
          </w:p>
        </w:tc>
      </w:tr>
      <w:tr>
        <w:tc>
          <w:tcPr/>
          <w:p>
            <w:pPr>
              <w:pStyle w:val="Compact"/>
              <w:jc w:val="left"/>
            </w:pPr>
            <w:r>
              <w:t xml:space="preserve">VAT (12% – Kazakhstan Standard Rate)</w:t>
            </w:r>
          </w:p>
        </w:tc>
        <w:tc>
          <w:tcPr/>
          <w:p>
            <w:pPr>
              <w:pStyle w:val="Compact"/>
              <w:jc w:val="right"/>
            </w:pPr>
            <w:r>
              <w:t xml:space="preserve">1,301,760.00 KZT</w:t>
            </w:r>
          </w:p>
        </w:tc>
      </w:tr>
      <w:tr>
        <w:tc>
          <w:tcPr/>
          <w:p>
            <w:pPr>
              <w:pStyle w:val="Compact"/>
              <w:jc w:val="left"/>
            </w:pPr>
            <w:r>
              <w:t xml:space="preserve">Withholding Tax (1% – Non-resident adjustment)</w:t>
            </w:r>
          </w:p>
        </w:tc>
        <w:tc>
          <w:tcPr/>
          <w:p>
            <w:pPr>
              <w:pStyle w:val="Compact"/>
              <w:jc w:val="right"/>
            </w:pPr>
            <w:r>
              <w:t xml:space="preserve">(108,480.00) KZT</w:t>
            </w:r>
          </w:p>
        </w:tc>
      </w:tr>
      <w:tr>
        <w:tc>
          <w:tcPr/>
          <w:p>
            <w:pPr>
              <w:pStyle w:val="Compact"/>
              <w:jc w:val="left"/>
            </w:pPr>
            <w:r>
              <w:t xml:space="preserve">Grand Total Due</w:t>
            </w:r>
          </w:p>
        </w:tc>
        <w:tc>
          <w:tcPr/>
          <w:p>
            <w:pPr>
              <w:pStyle w:val="Compact"/>
              <w:jc w:val="right"/>
            </w:pPr>
            <w:r>
              <w:t xml:space="preserve">12,041,280.00 KZT</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Invoice date, no later than 30 June 2025. Payment shall be made via bank transfer to the account of Almaty Financial Advisory Group LLP at JSC Halyk Bank, Almaty branch, Kazakhstan.</w:t>
      </w:r>
    </w:p>
    <w:p>
      <w:pPr>
        <w:pStyle w:val="BodyText"/>
      </w:pPr>
      <w:r>
        <w:t xml:space="preserve">IBAN: KZ85 9900 0000 0000 1234 5678 | BIC: HLBKKZKA</w:t>
      </w:r>
    </w:p>
    <w:p>
      <w:pPr>
        <w:pStyle w:val="BodyText"/>
      </w:pPr>
      <w:r>
        <w:t xml:space="preserve">Please reference Invoice number AFAG-2025-00847 in the payment remittance. Late payments shall accrue interest at the rate of 0.1% per calendar day in accordance with the Civil Code of the Republic of Kazakhstan, Chapter 25.</w:t>
      </w:r>
    </w:p>
    <w:p>
      <w:pPr>
        <w:pStyle w:val="BodyText"/>
      </w:pPr>
      <w:r>
        <w:t xml:space="preserve">All amounts are denominated in Kazakhstani Tenge (KZT). This Invoice is issued in compliance with the Tax Code of the Republic of Kazakhstan and the applicable accounting standards (IFRS as adopted in Kazakhstan Almaty jurisdiction).</w:t>
      </w:r>
    </w:p>
    <w:bookmarkEnd w:id="24"/>
    <w:bookmarkStart w:id="25" w:name="notes-additional-information"/>
    <w:p>
      <w:pPr>
        <w:pStyle w:val="Heading3"/>
      </w:pPr>
      <w:r>
        <w:t xml:space="preserve">Notes &amp; Additional Information</w:t>
      </w:r>
    </w:p>
    <w:p>
      <w:pPr>
        <w:pStyle w:val="FirstParagraph"/>
      </w:pPr>
      <w:r>
        <w:t xml:space="preserve">1. The Financial Analyst services rendered under this Invoice were performed by certified professionals registered with the Kazakhstan Institute of Chartered Accountants (KICA) and hold valid professional licenses issued by the Ministry of Finance of the Republic of Kazakhstan.</w:t>
      </w:r>
    </w:p>
    <w:p>
      <w:pPr>
        <w:pStyle w:val="BodyText"/>
      </w:pPr>
      <w:r>
        <w:t xml:space="preserve">2. All Financial Analyst deliverables, including but not limited to variance reports, cash flow models, and risk assessments, are the intellectual property of Almaty Financial Advisory Group LLP and are provided to the client under a non-disclosure agreement dated 01 January 2025.</w:t>
      </w:r>
    </w:p>
    <w:p>
      <w:pPr>
        <w:pStyle w:val="BodyText"/>
      </w:pPr>
      <w:r>
        <w:t xml:space="preserve">3. This Invoice covers services exclusively rendered in the Kazakhstan Almaty metropolitan area. Any travel, accommodation, or per diem expenses incurred outside the Almaty city limits are excluded and will be invoiced separately.</w:t>
      </w:r>
    </w:p>
    <w:p>
      <w:pPr>
        <w:pStyle w:val="BodyText"/>
      </w:pPr>
      <w:r>
        <w:t xml:space="preserve">4. The client acknowledges that the Financial Analyst engagement was conducted in accordance with the terms of the Master Service Agreement (MSA No. MSA-2025-0031) executed between both parties on 05 January 2025 in Almaty, Kazakhstan.</w:t>
      </w:r>
    </w:p>
    <w:p>
      <w:pPr>
        <w:pStyle w:val="BodyText"/>
      </w:pPr>
      <w:r>
        <w:t xml:space="preserve">5. In the event of any dispute regarding this Invoice, the parties agree to resolve the matter through arbitration at the International Arbitration Centre of the Astana International Financial Centre (AIFC), Kazakhstan, in accordance with its Arbitration Rules.</w:t>
      </w:r>
    </w:p>
    <w:bookmarkEnd w:id="25"/>
    <w:p>
      <w:pPr>
        <w:pStyle w:val="BodyText"/>
      </w:pPr>
      <w:r>
        <w:rPr>
          <w:bCs/>
          <w:b/>
        </w:rPr>
        <w:t xml:space="preserve">Prepared By:</w:t>
      </w:r>
      <w:r>
        <w:br/>
      </w:r>
      <w:r>
        <w:t xml:space="preserve">Aigerim Nurlanova</w:t>
      </w:r>
      <w:r>
        <w:br/>
      </w:r>
      <w:r>
        <w:t xml:space="preserve">Chief Financial Officer</w:t>
      </w:r>
      <w:r>
        <w:br/>
      </w:r>
      <w:r>
        <w:t xml:space="preserve">Almaty Financial Advisory Group LLP</w:t>
      </w:r>
      <w:r>
        <w:br/>
      </w:r>
      <w:r>
        <w:t xml:space="preserve">Date: 15 June 2025</w:t>
      </w:r>
    </w:p>
    <w:p>
      <w:pPr>
        <w:pStyle w:val="BodyText"/>
      </w:pPr>
      <w:r>
        <w:rPr>
          <w:bCs/>
          <w:b/>
        </w:rPr>
        <w:t xml:space="preserve">Accepted By (Client):</w:t>
      </w:r>
      <w:r>
        <w:br/>
      </w:r>
      <w:r>
        <w:t xml:space="preserve">Dauren Bekzhanov</w:t>
      </w:r>
      <w:r>
        <w:br/>
      </w:r>
      <w:r>
        <w:t xml:space="preserve">Director of Finance</w:t>
      </w:r>
      <w:r>
        <w:br/>
      </w:r>
      <w:r>
        <w:t xml:space="preserve">Tengri Industrial Holdings JSC</w:t>
      </w:r>
      <w:r>
        <w:br/>
      </w:r>
      <w:r>
        <w:t xml:space="preserve">Date: _______________</w:t>
      </w:r>
    </w:p>
    <w:p>
      <w:pPr>
        <w:pStyle w:val="BodyText"/>
      </w:pPr>
      <w:r>
        <w:rPr>
          <w:bCs/>
          <w:b/>
        </w:rPr>
        <w:t xml:space="preserve">Almaty Financial Advisory Group LLP</w:t>
      </w:r>
      <w:r>
        <w:t xml:space="preserve"> </w:t>
      </w:r>
      <w:r>
        <w:t xml:space="preserve">| 128 Abai Avenue, Office 412, Almaty, 050040, Kazakhstan</w:t>
      </w:r>
    </w:p>
    <w:p>
      <w:pPr>
        <w:pStyle w:val="BodyText"/>
      </w:pPr>
      <w:r>
        <w:t xml:space="preserve">BIN: 990740012345 | Registered with the Almaty City Department of Justice | License No. 2025-FA-0091</w:t>
      </w:r>
    </w:p>
    <w:p>
      <w:pPr>
        <w:pStyle w:val="BodyText"/>
      </w:pPr>
      <w:r>
        <w:t xml:space="preserve">This Invoice is a legally binding document issued under the Tax Code of the Republic of Kazakhstan. Retain this document for your corporate tax records.</w:t>
      </w:r>
    </w:p>
    <w:p>
      <w:pPr>
        <w:pStyle w:val="BodyText"/>
      </w:pPr>
      <w:r>
        <w:t xml:space="preserve">For queries regarding this Invoice, please contact our billing department at billing@afag-kz.com or +7 (727) 312-45-67, Monday to Friday, 09:00–18:00 (Almaty time, GMT+5).</w:t>
      </w:r>
    </w:p>
    <w:p>
      <w:pPr>
        <w:pStyle w:val="BodyText"/>
      </w:pPr>
      <w:r>
        <w:t xml:space="preserve">© 2025 Almaty Financial Advisory Group LLP. All rights reserved. Invoice AFAG-2025-00847.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Kazakhstan Almaty</dc:title>
  <dc:creator/>
  <dc:language>en</dc:language>
  <cp:keywords/>
  <dcterms:created xsi:type="dcterms:W3CDTF">2026-10-10T07:33:15Z</dcterms:created>
  <dcterms:modified xsi:type="dcterms:W3CDTF">2026-10-10T07:33:15Z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