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akheel-financial-consulting-llc"/>
    <w:p>
      <w:pPr>
        <w:pStyle w:val="Heading1"/>
      </w:pPr>
      <w:r>
        <w:t xml:space="preserve">Al-Nakheel Financial Consulting LLC</w:t>
      </w:r>
    </w:p>
    <w:p>
      <w:pPr>
        <w:pStyle w:val="FirstParagraph"/>
      </w:pPr>
      <w:r>
        <w:t xml:space="preserve">Office 1204, Al Hamra Tower, Al Hamra Street</w:t>
      </w:r>
    </w:p>
    <w:p>
      <w:pPr>
        <w:pStyle w:val="BodyText"/>
      </w:pPr>
      <w:r>
        <w:t xml:space="preserve">Kuwait Kuwait City, P.O. Box 4521, Safat 13001</w:t>
      </w:r>
    </w:p>
    <w:p>
      <w:pPr>
        <w:pStyle w:val="BodyText"/>
      </w:pPr>
      <w:r>
        <w:t xml:space="preserve">State of Kuwait</w:t>
      </w:r>
    </w:p>
    <w:p>
      <w:pPr>
        <w:pStyle w:val="BodyText"/>
      </w:pPr>
      <w:r>
        <w:t xml:space="preserve">Tel: +965 2244 8899 | Email: billing@alnakheel-fin.com</w:t>
      </w:r>
    </w:p>
    <w:p>
      <w:pPr>
        <w:pStyle w:val="BodyText"/>
      </w:pPr>
      <w:r>
        <w:t xml:space="preserve">Commercial Registration No. 184729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ANF-2025-00472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Al-Rashid Industrial Group W.L.L.</w:t>
      </w:r>
    </w:p>
    <w:p>
      <w:pPr>
        <w:pStyle w:val="BodyText"/>
      </w:pPr>
      <w:r>
        <w:t xml:space="preserve">Attn: Mr. Khalid Al-Rashid, Chief Financial Officer</w:t>
      </w:r>
    </w:p>
    <w:p>
      <w:pPr>
        <w:pStyle w:val="BodyText"/>
      </w:pPr>
      <w:r>
        <w:t xml:space="preserve">Headquarters, Al Salem Industrial Zone</w:t>
      </w:r>
    </w:p>
    <w:p>
      <w:pPr>
        <w:pStyle w:val="BodyText"/>
      </w:pPr>
      <w:r>
        <w:t xml:space="preserve">Kuwait Kuwait City, P.O. Box 7832, Salmiya 13001</w:t>
      </w:r>
    </w:p>
    <w:p>
      <w:pPr>
        <w:pStyle w:val="BodyText"/>
      </w:pPr>
      <w:r>
        <w:t xml:space="preserve">State of Kuwait</w:t>
      </w:r>
    </w:p>
    <w:p>
      <w:pPr>
        <w:pStyle w:val="BodyText"/>
      </w:pPr>
      <w:r>
        <w:t xml:space="preserve">VAT No.: KU-448291037</w:t>
      </w:r>
    </w:p>
    <w:bookmarkEnd w:id="22"/>
    <w:bookmarkStart w:id="23" w:name="prepared-by"/>
    <w:p>
      <w:pPr>
        <w:pStyle w:val="Heading3"/>
      </w:pPr>
      <w:r>
        <w:t xml:space="preserve">Prepared By</w:t>
      </w:r>
    </w:p>
    <w:p>
      <w:pPr>
        <w:pStyle w:val="FirstParagraph"/>
      </w:pPr>
      <w:r>
        <w:rPr>
          <w:bCs/>
          <w:b/>
        </w:rPr>
        <w:t xml:space="preserve">Dr. Sarah Al-Mutawa</w:t>
      </w:r>
    </w:p>
    <w:p>
      <w:pPr>
        <w:pStyle w:val="BodyText"/>
      </w:pPr>
      <w:r>
        <w:t xml:space="preserve">Senior Financial Analyst</w:t>
      </w:r>
    </w:p>
    <w:p>
      <w:pPr>
        <w:pStyle w:val="BodyText"/>
      </w:pPr>
      <w:r>
        <w:t xml:space="preserve">Al-Nakheel Financial Consulting LLC</w:t>
      </w:r>
    </w:p>
    <w:p>
      <w:pPr>
        <w:pStyle w:val="BodyText"/>
      </w:pPr>
      <w:r>
        <w:t xml:space="preserve">Kuwait Kuwait City, Safat 13001</w:t>
      </w:r>
    </w:p>
    <w:p>
      <w:pPr>
        <w:pStyle w:val="BodyText"/>
      </w:pPr>
      <w:r>
        <w:t xml:space="preserve">State of Kuwait</w:t>
      </w:r>
    </w:p>
    <w:p>
      <w:pPr>
        <w:pStyle w:val="BodyText"/>
      </w:pPr>
      <w:r>
        <w:t xml:space="preserve">Professional License No. FA-2019-0384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Deliverable / Reference</w:t>
            </w:r>
          </w:p>
        </w:tc>
        <w:tc>
          <w:tcPr/>
          <w:p>
            <w:pPr>
              <w:pStyle w:val="Compact"/>
              <w:jc w:val="left"/>
            </w:pPr>
            <w:r>
              <w:t xml:space="preserve">Hours / Units</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Comprehensive quarterly financial analysis and variance reporting for Al-Rashid Industrial Group. The Financial Analyst conducted a detailed review of income statements, balance sheets, and cash flow projections for Q1 2025, identifying material variances against the approved budget and providing actionable recommendations to management in Kuwait Kuwait City.</w:t>
            </w:r>
          </w:p>
        </w:tc>
        <w:tc>
          <w:tcPr/>
          <w:p>
            <w:pPr>
              <w:pStyle w:val="Compact"/>
              <w:jc w:val="left"/>
            </w:pPr>
            <w:r>
              <w:t xml:space="preserve">Report Ref: Q1-2025-VAR</w:t>
            </w:r>
          </w:p>
        </w:tc>
        <w:tc>
          <w:tcPr/>
          <w:p>
            <w:pPr>
              <w:pStyle w:val="Compact"/>
              <w:jc w:val="left"/>
            </w:pPr>
            <w:r>
              <w:t xml:space="preserve">40 hrs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Development of a 5-year financial model and capital expenditure forecasting for the proposed expansion project in the Salmiya district. The Financial Analyst built a dynamic Excel-based model incorporating sensitivity analysis, NPV, IRR calculations, and Monte Carlo simulations to support the board-level investment decision.</w:t>
            </w:r>
          </w:p>
        </w:tc>
        <w:tc>
          <w:tcPr/>
          <w:p>
            <w:pPr>
              <w:pStyle w:val="Compact"/>
              <w:jc w:val="left"/>
            </w:pPr>
            <w:r>
              <w:t xml:space="preserve">Model Ref: EXP-5YR-2025</w:t>
            </w:r>
          </w:p>
        </w:tc>
        <w:tc>
          <w:tcPr/>
          <w:p>
            <w:pPr>
              <w:pStyle w:val="Compact"/>
              <w:jc w:val="left"/>
            </w:pPr>
            <w:r>
              <w:t xml:space="preserve">60 hrs</w:t>
            </w:r>
          </w:p>
        </w:tc>
        <w:tc>
          <w:tcPr/>
          <w:p>
            <w:pPr>
              <w:pStyle w:val="Compact"/>
              <w:jc w:val="left"/>
            </w:pPr>
            <w:r>
              <w:t xml:space="preserve">18.500</w:t>
            </w:r>
          </w:p>
        </w:tc>
        <w:tc>
          <w:tcPr/>
          <w:p>
            <w:pPr>
              <w:pStyle w:val="Compact"/>
              <w:jc w:val="left"/>
            </w:pPr>
            <w:r>
              <w:t xml:space="preserve">1,110.000</w:t>
            </w:r>
          </w:p>
        </w:tc>
      </w:tr>
      <w:tr>
        <w:tc>
          <w:tcPr/>
          <w:p>
            <w:pPr>
              <w:pStyle w:val="Compact"/>
              <w:jc w:val="left"/>
            </w:pPr>
            <w:r>
              <w:t xml:space="preserve">3</w:t>
            </w:r>
          </w:p>
        </w:tc>
        <w:tc>
          <w:tcPr/>
          <w:p>
            <w:pPr>
              <w:pStyle w:val="Compact"/>
              <w:jc w:val="left"/>
            </w:pPr>
            <w:r>
              <w:t xml:space="preserve">Monthly accounts payable and receivable reconciliation, working capital optimization analysis, and liquidity risk assessment. The Financial Analyst reviewed 1,240 individual transactions, identified 37 discrepancies, and implemented a new reconciliation protocol to reduce month-end close time by 40%.</w:t>
            </w:r>
          </w:p>
        </w:tc>
        <w:tc>
          <w:tcPr/>
          <w:p>
            <w:pPr>
              <w:pStyle w:val="Compact"/>
              <w:jc w:val="left"/>
            </w:pPr>
            <w:r>
              <w:t xml:space="preserve">Ref: WC-OPT-05/25</w:t>
            </w:r>
          </w:p>
        </w:tc>
        <w:tc>
          <w:tcPr/>
          <w:p>
            <w:pPr>
              <w:pStyle w:val="Compact"/>
              <w:jc w:val="left"/>
            </w:pPr>
            <w:r>
              <w:t xml:space="preserve">32 hrs</w:t>
            </w:r>
          </w:p>
        </w:tc>
        <w:tc>
          <w:tcPr/>
          <w:p>
            <w:pPr>
              <w:pStyle w:val="Compact"/>
              <w:jc w:val="left"/>
            </w:pPr>
            <w:r>
              <w:t xml:space="preserve">18.500</w:t>
            </w:r>
          </w:p>
        </w:tc>
        <w:tc>
          <w:tcPr/>
          <w:p>
            <w:pPr>
              <w:pStyle w:val="Compact"/>
              <w:jc w:val="left"/>
            </w:pPr>
            <w:r>
              <w:t xml:space="preserve">592.000</w:t>
            </w:r>
          </w:p>
        </w:tc>
      </w:tr>
      <w:tr>
        <w:tc>
          <w:tcPr/>
          <w:p>
            <w:pPr>
              <w:pStyle w:val="Compact"/>
              <w:jc w:val="left"/>
            </w:pPr>
            <w:r>
              <w:t xml:space="preserve">4</w:t>
            </w:r>
          </w:p>
        </w:tc>
        <w:tc>
          <w:tcPr/>
          <w:p>
            <w:pPr>
              <w:pStyle w:val="Compact"/>
              <w:jc w:val="left"/>
            </w:pPr>
            <w:r>
              <w:t xml:space="preserve">Preparation of regulatory financial disclosures and compliance reporting in accordance with the Kuwait Financial Supervision Authority (FSA) guidelines. The Financial Analyst ensured all filings met the statutory requirements for entities operating in Kuwait Kuwait City and prepared the audit-ready documentation package.</w:t>
            </w:r>
          </w:p>
        </w:tc>
        <w:tc>
          <w:tcPr/>
          <w:p>
            <w:pPr>
              <w:pStyle w:val="Compact"/>
              <w:jc w:val="left"/>
            </w:pPr>
            <w:r>
              <w:t xml:space="preserve">Ref: FSA-COMP-05/25</w:t>
            </w:r>
          </w:p>
        </w:tc>
        <w:tc>
          <w:tcPr/>
          <w:p>
            <w:pPr>
              <w:pStyle w:val="Compact"/>
              <w:jc w:val="left"/>
            </w:pPr>
            <w:r>
              <w:t xml:space="preserve">24 hrs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5</w:t>
            </w:r>
          </w:p>
        </w:tc>
        <w:tc>
          <w:tcPr/>
          <w:p>
            <w:pPr>
              <w:pStyle w:val="Compact"/>
              <w:jc w:val="left"/>
            </w:pPr>
            <w:r>
              <w:t xml:space="preserve">On-site advisory session and presentation to the Board of Directors regarding the consolidated financial position, key performance indicators, and strategic financial outlook. The Financial Analyst delivered a 90-minute executive briefing at the client's headquarters in Kuwait Kuwait City, followed by a 60-minute Q&amp;A and action-item workshop.</w:t>
            </w:r>
          </w:p>
        </w:tc>
        <w:tc>
          <w:tcPr/>
          <w:p>
            <w:pPr>
              <w:pStyle w:val="Compact"/>
              <w:jc w:val="left"/>
            </w:pPr>
            <w:r>
              <w:t xml:space="preserve">Ref: BD-PRSN-05/25</w:t>
            </w:r>
          </w:p>
        </w:tc>
        <w:tc>
          <w:tcPr/>
          <w:p>
            <w:pPr>
              <w:pStyle w:val="Compact"/>
              <w:jc w:val="left"/>
            </w:pPr>
            <w:r>
              <w:t xml:space="preserve">8 hrs</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6</w:t>
            </w:r>
          </w:p>
        </w:tc>
        <w:tc>
          <w:tcPr/>
          <w:p>
            <w:pPr>
              <w:pStyle w:val="Compact"/>
              <w:jc w:val="left"/>
            </w:pPr>
            <w:r>
              <w:t xml:space="preserve">Preparation of the monthly management dashboard and KPI scorecard, including EBITDA margin tracking, debt-to-equity ratio monitoring, and sector benchmarking against comparable Kuwaiti industrial firms. The Financial Analyst designed an automated Power BI dashboard for ongoing use by the CFO's office.</w:t>
            </w:r>
          </w:p>
        </w:tc>
        <w:tc>
          <w:tcPr/>
          <w:p>
            <w:pPr>
              <w:pStyle w:val="Compact"/>
              <w:jc w:val="left"/>
            </w:pPr>
            <w:r>
              <w:t xml:space="preserve">Ref: KPI-DASH-05/25</w:t>
            </w:r>
          </w:p>
        </w:tc>
        <w:tc>
          <w:tcPr/>
          <w:p>
            <w:pPr>
              <w:pStyle w:val="Compact"/>
              <w:jc w:val="left"/>
            </w:pPr>
            <w:r>
              <w:t xml:space="preserve">16 hrs</w:t>
            </w:r>
          </w:p>
        </w:tc>
        <w:tc>
          <w:tcPr/>
          <w:p>
            <w:pPr>
              <w:pStyle w:val="Compact"/>
              <w:jc w:val="left"/>
            </w:pPr>
            <w:r>
              <w:t xml:space="preserve">18.500</w:t>
            </w:r>
          </w:p>
        </w:tc>
        <w:tc>
          <w:tcPr/>
          <w:p>
            <w:pPr>
              <w:pStyle w:val="Compact"/>
              <w:jc w:val="left"/>
            </w:pPr>
            <w:r>
              <w:t xml:space="preserve">296.000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KWD 3,358.000</w:t>
            </w:r>
          </w:p>
        </w:tc>
      </w:tr>
      <w:tr>
        <w:tc>
          <w:tcPr/>
          <w:p>
            <w:pPr>
              <w:pStyle w:val="Compact"/>
              <w:jc w:val="left"/>
            </w:pPr>
            <w:r>
              <w:t xml:space="preserve">VAT (5%)</w:t>
            </w:r>
          </w:p>
        </w:tc>
        <w:tc>
          <w:tcPr/>
          <w:p>
            <w:pPr>
              <w:pStyle w:val="Compact"/>
              <w:jc w:val="left"/>
            </w:pPr>
            <w:r>
              <w:t xml:space="preserve">KWD 167.900</w:t>
            </w:r>
          </w:p>
        </w:tc>
      </w:tr>
      <w:tr>
        <w:tc>
          <w:tcPr/>
          <w:p>
            <w:pPr>
              <w:pStyle w:val="Compact"/>
              <w:jc w:val="left"/>
            </w:pPr>
            <w:r>
              <w:t xml:space="preserve">Early Payment Discount (2% if paid before 22 June 2025)</w:t>
            </w:r>
          </w:p>
        </w:tc>
        <w:tc>
          <w:tcPr/>
          <w:p>
            <w:pPr>
              <w:pStyle w:val="Compact"/>
              <w:jc w:val="left"/>
            </w:pPr>
            <w:r>
              <w:t xml:space="preserve">- KWD 67.160</w:t>
            </w:r>
          </w:p>
        </w:tc>
      </w:tr>
      <w:tr>
        <w:tc>
          <w:tcPr/>
          <w:p>
            <w:pPr>
              <w:pStyle w:val="Compact"/>
              <w:jc w:val="left"/>
            </w:pPr>
            <w:r>
              <w:t xml:space="preserve">TOTAL AMOUNT DUE</w:t>
            </w:r>
          </w:p>
        </w:tc>
        <w:tc>
          <w:tcPr/>
          <w:p>
            <w:pPr>
              <w:pStyle w:val="Compact"/>
              <w:jc w:val="left"/>
            </w:pPr>
            <w:r>
              <w:t xml:space="preserve">KWD 3,458.740</w:t>
            </w:r>
          </w:p>
        </w:tc>
      </w:tr>
    </w:tbl>
    <w:bookmarkStart w:id="24" w:name="invoice-notes-terms"/>
    <w:p>
      <w:pPr>
        <w:pStyle w:val="Heading3"/>
      </w:pPr>
      <w:r>
        <w:t xml:space="preserve">Invoice Notes &amp; Terms</w:t>
      </w:r>
    </w:p>
    <w:p>
      <w:pPr>
        <w:pStyle w:val="FirstParagraph"/>
      </w:pPr>
      <w:r>
        <w:t xml:space="preserve">This Invoice is issued by Al-Nakheel Financial Consulting LLC for professional Financial Analyst services rendered to Al-Rashid Industrial Group W.L.L. during the service period of 01 May 2025 through 31 May 2025. All services were performed by a certified Financial Analyst holding a valid professional license issued by the Kuwait Ministry of Finance.</w:t>
      </w:r>
    </w:p>
    <w:p>
      <w:pPr>
        <w:pStyle w:val="BodyText"/>
      </w:pPr>
      <w:r>
        <w:t xml:space="preserve">The total amount due on this Invoice is</w:t>
      </w:r>
      <w:r>
        <w:t xml:space="preserve"> </w:t>
      </w:r>
      <w:r>
        <w:rPr>
          <w:bCs/>
          <w:b/>
        </w:rPr>
        <w:t xml:space="preserve">Three Thousand Four Hundred Fifty-Eight Kuwaiti Dinars and Seven Hundred Forty Nayeem (KWD 3,458.740)</w:t>
      </w:r>
      <w:r>
        <w:t xml:space="preserve">, inclusive of 5% Value Added Tax as mandated by the Kuwait Tax Authority. This Invoice is payable within 15 calendar days from the Invoice date unless the early payment discount is applied.</w:t>
      </w:r>
    </w:p>
    <w:p>
      <w:pPr>
        <w:pStyle w:val="BodyText"/>
      </w:pPr>
      <w:r>
        <w:t xml:space="preserve">All Financial Analyst deliverables referenced in this Invoice, including but not limited to the quarterly variance report, the 5-year financial model, the working capital optimization analysis, and the FSA compliance package, have been delivered to the client's designated representative in Kuwait Kuwait City and are confirmed as accepted in writing via email dated 05 June 2025.</w:t>
      </w:r>
    </w:p>
    <w:p>
      <w:pPr>
        <w:pStyle w:val="BodyText"/>
      </w:pPr>
      <w:r>
        <w:t xml:space="preserve">Any disputes regarding the charges on this Invoice must be raised in writing within 10 business days of the Invoice date. Failure to remit payment by the due date will result in a late payment surcharge of 1.5% per month applied to the outstanding balance, in accordance with the master service agreement dated 01 January 2025.</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National Bank of Kuwait (NBK)</w:t>
      </w:r>
    </w:p>
    <w:p>
      <w:pPr>
        <w:pStyle w:val="BodyText"/>
      </w:pPr>
      <w:r>
        <w:rPr>
          <w:bCs/>
          <w:b/>
        </w:rPr>
        <w:t xml:space="preserve">Account Name:</w:t>
      </w:r>
      <w:r>
        <w:t xml:space="preserve"> </w:t>
      </w:r>
      <w:r>
        <w:t xml:space="preserve">Al-Nakheel Financial Consulting LLC</w:t>
      </w:r>
    </w:p>
    <w:p>
      <w:pPr>
        <w:pStyle w:val="BodyText"/>
      </w:pPr>
      <w:r>
        <w:t xml:space="preserve">&lt;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Kuwait Kuwait City</dc:title>
  <dc:creator/>
  <dc:language>en</dc:language>
  <cp:keywords/>
  <dcterms:created xsi:type="dcterms:W3CDTF">2026-10-10T08:03:31Z</dcterms:created>
  <dcterms:modified xsi:type="dcterms:W3CDTF">2026-10-10T08:03:31Z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