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meridian-analytics-group-s.a.-de-c.v."/>
    <w:p>
      <w:pPr>
        <w:pStyle w:val="Heading1"/>
      </w:pPr>
      <w:r>
        <w:t xml:space="preserve">Meridian Analytics Group, S.A. de C.V.</w:t>
      </w:r>
    </w:p>
    <w:p>
      <w:pPr>
        <w:pStyle w:val="FirstParagraph"/>
      </w:pPr>
      <w:r>
        <w:t xml:space="preserve">Av. Paseo de la Reforma 222, Piso 14</w:t>
      </w:r>
    </w:p>
    <w:p>
      <w:pPr>
        <w:pStyle w:val="BodyText"/>
      </w:pPr>
      <w:r>
        <w:t xml:space="preserve">Col. Cuauhtémoc, C.P. 06500</w:t>
      </w:r>
    </w:p>
    <w:p>
      <w:pPr>
        <w:pStyle w:val="BodyText"/>
      </w:pPr>
      <w:r>
        <w:t xml:space="preserve">Mexico Mexico City, CDMX, México</w:t>
      </w:r>
    </w:p>
    <w:p>
      <w:pPr>
        <w:pStyle w:val="BodyText"/>
      </w:pPr>
      <w:r>
        <w:t xml:space="preserve">RFC: MAG180512QX7</w:t>
      </w:r>
    </w:p>
    <w:p>
      <w:pPr>
        <w:pStyle w:val="BodyText"/>
      </w:pPr>
      <w:r>
        <w:t xml:space="preserve">Phone: +52 (55) 5512-8834</w:t>
      </w:r>
    </w:p>
    <w:p>
      <w:pPr>
        <w:pStyle w:val="BodyText"/>
      </w:pPr>
      <w:r>
        <w:t xml:space="preserve">Email: billing@meridiananalytics.mx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Grupo Financiero del Norte, S.A. de C.V.</w:t>
      </w:r>
    </w:p>
    <w:p>
      <w:pPr>
        <w:pStyle w:val="BodyText"/>
      </w:pPr>
      <w:r>
        <w:t xml:space="preserve">Attn: Lic. Mariana Torres, CFO</w:t>
      </w:r>
    </w:p>
    <w:p>
      <w:pPr>
        <w:pStyle w:val="BodyText"/>
      </w:pPr>
      <w:r>
        <w:t xml:space="preserve">Av. Insurgentes Sur 1500, Piso 8</w:t>
      </w:r>
    </w:p>
    <w:p>
      <w:pPr>
        <w:pStyle w:val="BodyText"/>
      </w:pPr>
      <w:r>
        <w:t xml:space="preserve">Col. Del Valle, C.P. 03100</w:t>
      </w:r>
    </w:p>
    <w:p>
      <w:pPr>
        <w:pStyle w:val="BodyText"/>
      </w:pPr>
      <w:r>
        <w:t xml:space="preserve">Mexico Mexico City, CDMX, México</w:t>
      </w:r>
    </w:p>
    <w:p>
      <w:pPr>
        <w:pStyle w:val="BodyText"/>
      </w:pPr>
      <w:r>
        <w:t xml:space="preserve">RFC: GFN120304PL9</w:t>
      </w:r>
    </w:p>
    <w:p>
      <w:pPr>
        <w:pStyle w:val="BodyText"/>
      </w:pPr>
      <w:r>
        <w:t xml:space="preserve">Phone: +52 (55) 5678-2210</w:t>
      </w:r>
    </w:p>
    <w:bookmarkEnd w:id="22"/>
    <w:bookmarkStart w:id="23" w:name="service-provider"/>
    <w:p>
      <w:pPr>
        <w:pStyle w:val="Heading3"/>
      </w:pPr>
      <w:r>
        <w:t xml:space="preserve">Service Provider</w:t>
      </w:r>
    </w:p>
    <w:p>
      <w:pPr>
        <w:pStyle w:val="FirstParagraph"/>
      </w:pPr>
      <w:r>
        <w:rPr>
          <w:bCs/>
          <w:b/>
        </w:rPr>
        <w:t xml:space="preserve">Meridian Analytics Group, S.A. de C.V.</w:t>
      </w:r>
    </w:p>
    <w:p>
      <w:pPr>
        <w:pStyle w:val="BodyText"/>
      </w:pPr>
      <w:r>
        <w:t xml:space="preserve">Lead Financial Analyst: Ing. Carlos Herrera</w:t>
      </w:r>
    </w:p>
    <w:p>
      <w:pPr>
        <w:pStyle w:val="BodyText"/>
      </w:pPr>
      <w:r>
        <w:t xml:space="preserve">Professional License: CFP-2019-4482</w:t>
      </w:r>
    </w:p>
    <w:p>
      <w:pPr>
        <w:pStyle w:val="BodyText"/>
      </w:pPr>
      <w:r>
        <w:t xml:space="preserve">Av. Paseo de la Reforma 222, Piso 14</w:t>
      </w:r>
    </w:p>
    <w:p>
      <w:pPr>
        <w:pStyle w:val="BodyText"/>
      </w:pPr>
      <w:r>
        <w:t xml:space="preserve">Col. Cuauhtémoc, C.P. 06500</w:t>
      </w:r>
    </w:p>
    <w:p>
      <w:pPr>
        <w:pStyle w:val="BodyText"/>
      </w:pPr>
      <w:r>
        <w:t xml:space="preserve">Mexico Mexico City, CDMX, México</w:t>
      </w:r>
    </w:p>
    <w:p>
      <w:pPr>
        <w:pStyle w:val="BodyText"/>
      </w:pPr>
      <w:r>
        <w:t xml:space="preserve">Bank: BBVA México</w:t>
      </w:r>
    </w:p>
    <w:p>
      <w:pPr>
        <w:pStyle w:val="BodyText"/>
      </w:pPr>
      <w:r>
        <w:t xml:space="preserve">CLABE: 012180012345678901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Subtotal (MXN)</w:t>
            </w:r>
          </w:p>
        </w:tc>
        <w:tc>
          <w:tcPr/>
          <w:p>
            <w:pPr>
              <w:pStyle w:val="Compact"/>
              <w:jc w:val="left"/>
            </w:pPr>
            <w:r>
              <w:t xml:space="preserve">IVA 16%</w:t>
            </w:r>
          </w:p>
        </w:tc>
      </w:tr>
      <w:tr>
        <w:tc>
          <w:tcPr/>
          <w:p>
            <w:pPr>
              <w:pStyle w:val="Compact"/>
              <w:jc w:val="left"/>
            </w:pPr>
            <w:r>
              <w:t xml:space="preserve">1</w:t>
            </w:r>
          </w:p>
        </w:tc>
        <w:tc>
          <w:tcPr/>
          <w:p>
            <w:pPr>
              <w:pStyle w:val="Compact"/>
              <w:jc w:val="left"/>
            </w:pPr>
            <w:r>
              <w:t xml:space="preserve">Comprehensive Financial Analysis and Quarterly Performance Review – The Financial Analyst conducted a full assessment of the client's Q1 2025 financial statements, including balance sheet analysis, income statement variance reporting, and cash flow projections for the fiscal year. This engagement was performed in Mexico Mexico City at the client's headquarters.</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c>
          <w:tcPr/>
          <w:p>
            <w:pPr>
              <w:pStyle w:val="Compact"/>
              <w:jc w:val="left"/>
            </w:pPr>
            <w:r>
              <w:t xml:space="preserve">$11,840.00</w:t>
            </w:r>
          </w:p>
        </w:tc>
      </w:tr>
      <w:tr>
        <w:tc>
          <w:tcPr/>
          <w:p>
            <w:pPr>
              <w:pStyle w:val="Compact"/>
              <w:jc w:val="left"/>
            </w:pPr>
            <w:r>
              <w:t xml:space="preserve">2</w:t>
            </w:r>
          </w:p>
        </w:tc>
        <w:tc>
          <w:tcPr/>
          <w:p>
            <w:pPr>
              <w:pStyle w:val="Compact"/>
              <w:jc w:val="left"/>
            </w:pPr>
            <w:r>
              <w:t xml:space="preserve">Budget Forecasting and Scenario Modeling – The Financial Analyst developed three distinct budget scenarios (conservative, moderate, and aggressive) incorporating macroeconomic indicators specific to the Mexican market, including INPC inflation projections, Banxico interest rate forecasts, and peso-to-dollar exchange rate volatility modeling.</w:t>
            </w:r>
          </w:p>
        </w:tc>
        <w:tc>
          <w:tcPr/>
          <w:p>
            <w:pPr>
              <w:pStyle w:val="Compact"/>
              <w:jc w:val="left"/>
            </w:pPr>
            <w:r>
              <w:t xml:space="preserve">32</w:t>
            </w:r>
          </w:p>
        </w:tc>
        <w:tc>
          <w:tcPr/>
          <w:p>
            <w:pPr>
              <w:pStyle w:val="Compact"/>
              <w:jc w:val="left"/>
            </w:pPr>
            <w:r>
              <w:t xml:space="preserve">$1,850.00</w:t>
            </w:r>
          </w:p>
        </w:tc>
        <w:tc>
          <w:tcPr/>
          <w:p>
            <w:pPr>
              <w:pStyle w:val="Compact"/>
              <w:jc w:val="left"/>
            </w:pPr>
            <w:r>
              <w:t xml:space="preserve">$59,200.00</w:t>
            </w:r>
          </w:p>
        </w:tc>
        <w:tc>
          <w:tcPr/>
          <w:p>
            <w:pPr>
              <w:pStyle w:val="Compact"/>
              <w:jc w:val="left"/>
            </w:pPr>
            <w:r>
              <w:t xml:space="preserve">$9,472.00</w:t>
            </w:r>
          </w:p>
        </w:tc>
      </w:tr>
      <w:tr>
        <w:tc>
          <w:tcPr/>
          <w:p>
            <w:pPr>
              <w:pStyle w:val="Compact"/>
              <w:jc w:val="left"/>
            </w:pPr>
            <w:r>
              <w:t xml:space="preserve">3</w:t>
            </w:r>
          </w:p>
        </w:tc>
        <w:tc>
          <w:tcPr/>
          <w:p>
            <w:pPr>
              <w:pStyle w:val="Compact"/>
              <w:jc w:val="left"/>
            </w:pPr>
            <w:r>
              <w:t xml:space="preserve">Investment Portfolio Risk Assessment – The Financial Analyst performed a detailed risk analysis of the client's diversified investment portfolio, evaluating exposure to Mexican sovereign debt, emerging market equities, and fixed-income instruments. A comprehensive risk matrix and mitigation strategy report was delivered.</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c>
          <w:tcPr/>
          <w:p>
            <w:pPr>
              <w:pStyle w:val="Compact"/>
              <w:jc w:val="left"/>
            </w:pPr>
            <w:r>
              <w:t xml:space="preserve">$7,104.00</w:t>
            </w:r>
          </w:p>
        </w:tc>
      </w:tr>
      <w:tr>
        <w:tc>
          <w:tcPr/>
          <w:p>
            <w:pPr>
              <w:pStyle w:val="Compact"/>
              <w:jc w:val="left"/>
            </w:pPr>
            <w:r>
              <w:t xml:space="preserve">4</w:t>
            </w:r>
          </w:p>
        </w:tc>
        <w:tc>
          <w:tcPr/>
          <w:p>
            <w:pPr>
              <w:pStyle w:val="Compact"/>
              <w:jc w:val="left"/>
            </w:pPr>
            <w:r>
              <w:t xml:space="preserve">Regulatory Compliance Review (CNBV &amp; SAT) – The Financial Analyst reviewed all financial reporting for compliance with the Comisión Nacional Bancaria y de Valores (CNBV) regulations and the Servicio de Administración Tributaria (SAT) tax obligations applicable in Mexico Mexico City. A compliance gap analysis and remediation plan was provided.</w:t>
            </w:r>
          </w:p>
        </w:tc>
        <w:tc>
          <w:tcPr/>
          <w:p>
            <w:pPr>
              <w:pStyle w:val="Compact"/>
              <w:jc w:val="left"/>
            </w:pPr>
            <w:r>
              <w:t xml:space="preserve">16</w:t>
            </w:r>
          </w:p>
        </w:tc>
        <w:tc>
          <w:tcPr/>
          <w:p>
            <w:pPr>
              <w:pStyle w:val="Compact"/>
              <w:jc w:val="left"/>
            </w:pPr>
            <w:r>
              <w:t xml:space="preserve">$1,850.00</w:t>
            </w:r>
          </w:p>
        </w:tc>
        <w:tc>
          <w:tcPr/>
          <w:p>
            <w:pPr>
              <w:pStyle w:val="Compact"/>
              <w:jc w:val="left"/>
            </w:pPr>
            <w:r>
              <w:t xml:space="preserve">$29,600.00</w:t>
            </w:r>
          </w:p>
        </w:tc>
        <w:tc>
          <w:tcPr/>
          <w:p>
            <w:pPr>
              <w:pStyle w:val="Compact"/>
              <w:jc w:val="left"/>
            </w:pPr>
            <w:r>
              <w:t xml:space="preserve">$4,736.00</w:t>
            </w:r>
          </w:p>
        </w:tc>
      </w:tr>
      <w:tr>
        <w:tc>
          <w:tcPr/>
          <w:p>
            <w:pPr>
              <w:pStyle w:val="Compact"/>
              <w:jc w:val="left"/>
            </w:pPr>
            <w:r>
              <w:t xml:space="preserve">5</w:t>
            </w:r>
          </w:p>
        </w:tc>
        <w:tc>
          <w:tcPr/>
          <w:p>
            <w:pPr>
              <w:pStyle w:val="Compact"/>
              <w:jc w:val="left"/>
            </w:pPr>
            <w:r>
              <w:t xml:space="preserve">Executive Presentation and Advisory Session – The Financial Analyst prepared and delivered a 90-minute executive briefing to the Board of Directors in Mexico Mexico City, presenting key financial findings, strategic recommendations, and a 12-month financial outlook. Includes preparation of board-level presentation materials and follow-up Q&amp;A documentation.</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$4,224.00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rPr>
                <w:bCs/>
                <w:b/>
              </w:rPr>
              <w:t xml:space="preserve">$233,600.00</w:t>
            </w:r>
          </w:p>
        </w:tc>
      </w:tr>
      <w:tr>
        <w:tc>
          <w:tcPr/>
          <w:p>
            <w:pPr>
              <w:pStyle w:val="Compact"/>
              <w:jc w:val="left"/>
            </w:pPr>
            <w:r>
              <w:t xml:space="preserve">IVA (16% VAT) (MXN)</w:t>
            </w:r>
          </w:p>
        </w:tc>
        <w:tc>
          <w:tcPr/>
          <w:p>
            <w:pPr>
              <w:pStyle w:val="Compact"/>
              <w:jc w:val="left"/>
            </w:pPr>
            <w:r>
              <w:rPr>
                <w:bCs/>
                <w:b/>
              </w:rPr>
              <w:t xml:space="preserve">$37,376.00</w:t>
            </w:r>
          </w:p>
        </w:tc>
      </w:tr>
      <w:tr>
        <w:tc>
          <w:tcPr/>
          <w:p>
            <w:pPr>
              <w:pStyle w:val="Compact"/>
              <w:jc w:val="left"/>
            </w:pPr>
            <w:r>
              <w:t xml:space="preserve">Retención ISR (1.08%) (MXN)</w:t>
            </w:r>
          </w:p>
        </w:tc>
        <w:tc>
          <w:tcPr/>
          <w:p>
            <w:pPr>
              <w:pStyle w:val="Compact"/>
              <w:jc w:val="left"/>
            </w:pPr>
            <w:r>
              <w:t xml:space="preserve">($2,522.88)</w:t>
            </w:r>
          </w:p>
        </w:tc>
      </w:tr>
      <w:tr>
        <w:tc>
          <w:tcPr/>
          <w:p>
            <w:pPr>
              <w:pStyle w:val="Compact"/>
              <w:jc w:val="left"/>
            </w:pPr>
            <w:r>
              <w:t xml:space="preserve">TOTAL DUE (MXN)</w:t>
            </w:r>
          </w:p>
        </w:tc>
        <w:tc>
          <w:tcPr/>
          <w:p>
            <w:pPr>
              <w:pStyle w:val="Compact"/>
              <w:jc w:val="left"/>
            </w:pPr>
            <w:r>
              <w:t xml:space="preserve">$268,453.12</w:t>
            </w:r>
          </w:p>
        </w:tc>
      </w:tr>
    </w:tbl>
    <w:bookmarkStart w:id="24" w:name="payment-instructions"/>
    <w:p>
      <w:pPr>
        <w:pStyle w:val="Heading3"/>
      </w:pPr>
      <w:r>
        <w:t xml:space="preserve">Payment Instructions</w:t>
      </w:r>
    </w:p>
    <w:p>
      <w:pPr>
        <w:pStyle w:val="FirstParagraph"/>
      </w:pPr>
      <w:r>
        <w:t xml:space="preserve">This Invoice must be settled within thirty (30) calendar days from the issue date, no later than July 15, 2025. Payment shall be made via electronic bank transfer (SPEI) to the account details listed above. The total amount due on this Invoice is</w:t>
      </w:r>
      <w:r>
        <w:t xml:space="preserve"> </w:t>
      </w:r>
      <w:r>
        <w:rPr>
          <w:bCs/>
          <w:b/>
        </w:rPr>
        <w:t xml:space="preserve">Two Hundred Sixty-Eight Thousand Four Hundred Fifty-Three Mexican Pesos and Twelve Céntimos (MXN $268,453.12)</w:t>
      </w:r>
      <w:r>
        <w:t xml:space="preserve">, inclusive of IVA and net of ISR retention.</w:t>
      </w:r>
    </w:p>
    <w:p>
      <w:pPr>
        <w:pStyle w:val="BodyText"/>
      </w:pPr>
      <w:r>
        <w:t xml:space="preserve">For wire transfers from international accounts, please reference Invoice Number INV-2025-00487 in the transfer memo. All payments are to be made in Mexican Pesos (MXN) to the BBVA México account designated above. Late payments are subject to a penalty of 1.5% per month as stipulated in the service agreement executed in Mexico Mexico City.</w:t>
      </w:r>
    </w:p>
    <w:bookmarkEnd w:id="24"/>
    <w:bookmarkStart w:id="25" w:name="important-notes"/>
    <w:p>
      <w:pPr>
        <w:pStyle w:val="Heading3"/>
      </w:pPr>
      <w:r>
        <w:t xml:space="preserve">Important Notes</w:t>
      </w:r>
    </w:p>
    <w:p>
      <w:pPr>
        <w:pStyle w:val="FirstParagraph"/>
      </w:pPr>
      <w:r>
        <w:t xml:space="preserve">1. This Invoice has been issued in accordance with the Mexican Federal Tax Code (Código Fiscal de la Federación) and complies with the electronic invoicing requirements (CFDI 4.0) established by the SAT. The corresponding CFDI XML file has been transmitted electronically to the client's authorized email address.</w:t>
      </w:r>
    </w:p>
    <w:p>
      <w:pPr>
        <w:pStyle w:val="BodyText"/>
      </w:pPr>
      <w:r>
        <w:t xml:space="preserve">2. All Financial Analyst services rendered under this Invoice were performed by certified professionals operating under the regulatory framework of Mexico Mexico City. The lead Financial Analyst holds active credentials with the Comisión Nacional del Mercado de Valores (CNMV) and is registered with the Mexican Institute of Certified Public Accountants (IMCP).</w:t>
      </w:r>
    </w:p>
    <w:p>
      <w:pPr>
        <w:pStyle w:val="BodyText"/>
      </w:pPr>
      <w:r>
        <w:t xml:space="preserve">3. This Invoice represents the final settlement for all Financial Analyst consulting services rendered during the period of May 1 through May 31, 2025. No additional charges will be incurred for the services described herein. Any subsequent engagements will be invoiced separately.</w:t>
      </w:r>
    </w:p>
    <w:p>
      <w:pPr>
        <w:pStyle w:val="BodyText"/>
      </w:pPr>
      <w:r>
        <w:t xml:space="preserve">4. In the event of a dispute regarding the charges on this Invoice, both parties agree to resolve the matter through mediation in Mexico Mexico City before pursuing any formal legal action. The governing law for this Invoice and the underlying service agreement is the commercial law of the United Mexican States.</w:t>
      </w:r>
    </w:p>
    <w:p>
      <w:pPr>
        <w:pStyle w:val="BodyText"/>
      </w:pPr>
      <w:r>
        <w:t xml:space="preserve">5. Please retain this Invoice for your corporate tax records. The IVA amount shown is deductible as a tax credit in accordance with Article 1 of the Ley del IVA, provided the client meets the applicable requirements for tax credit utilization.</w:t>
      </w:r>
    </w:p>
    <w:bookmarkEnd w:id="25"/>
    <w:p>
      <w:pPr>
        <w:pStyle w:val="BodyText"/>
      </w:pPr>
      <w:r>
        <w:rPr>
          <w:bCs/>
          <w:b/>
        </w:rPr>
        <w:t xml:space="preserve">Meridian Analytics Group, S.A. de C.V.</w:t>
      </w:r>
      <w:r>
        <w:t xml:space="preserve"> </w:t>
      </w:r>
      <w:r>
        <w:t xml:space="preserve">| Financial Analyst &amp; Advisory Services | Mexico Mexico City, CDMX, México</w:t>
      </w:r>
    </w:p>
    <w:p>
      <w:pPr>
        <w:pStyle w:val="BodyText"/>
      </w:pPr>
      <w:r>
        <w:t xml:space="preserve">This Invoice was generated electronically on June 15, 2025. CFDI Folio: 3F8A2B1C-9D4E-4F7A-B6C8-1E2D3F4A5B6C</w:t>
      </w:r>
    </w:p>
    <w:p>
      <w:pPr>
        <w:pStyle w:val="BodyText"/>
      </w:pPr>
      <w:r>
        <w:t xml:space="preserve">Thank you for your business. We value our professional relationship and look forward to continuing to provide expert Financial Analyst services in Mexico Mexico City.</w:t>
      </w:r>
    </w:p>
    <w:p>
      <w:pPr>
        <w:pStyle w:val="BodyText"/>
      </w:pPr>
      <w:r>
        <w:t xml:space="preserve">This document is a valid Invoice for all commercial and tax purposes in the United Mexican States. © 2025 Meridian Analytics Group, S.A. de C.V.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Mexico Mexico City</dc:title>
  <dc:creator/>
  <dc:language>en</dc:language>
  <cp:keywords/>
  <dcterms:created xsi:type="dcterms:W3CDTF">2026-10-10T07:34:47Z</dcterms:created>
  <dcterms:modified xsi:type="dcterms:W3CDTF">2026-10-10T07:34:47Z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