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financial-advisory-b.v."/>
    <w:p>
      <w:pPr>
        <w:pStyle w:val="Heading1"/>
      </w:pPr>
      <w:r>
        <w:t xml:space="preserve">Amsterdam Financial Advisory B.V.</w:t>
      </w:r>
    </w:p>
    <w:p>
      <w:pPr>
        <w:pStyle w:val="FirstParagraph"/>
      </w:pPr>
      <w:r>
        <w:t xml:space="preserve">Keizersgracht 427, 1016 GC Amsterdam, Netherlands</w:t>
      </w:r>
    </w:p>
    <w:p>
      <w:pPr>
        <w:pStyle w:val="BodyText"/>
      </w:pPr>
      <w:r>
        <w:t xml:space="preserve">KvK: 87654321 | BTW: NL861234567B01</w:t>
      </w:r>
    </w:p>
    <w:p>
      <w:pPr>
        <w:pStyle w:val="BodyText"/>
      </w:pPr>
      <w:r>
        <w:t xml:space="preserve">Phone: +31 (0)20 555 0142</w:t>
      </w:r>
    </w:p>
    <w:p>
      <w:pPr>
        <w:pStyle w:val="BodyText"/>
      </w:pPr>
      <w:r>
        <w:t xml:space="preserve">Email: billing@amsterdamfinancialadvisory.nl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FA-AMST-2025-Q2</w:t>
      </w:r>
    </w:p>
    <w:bookmarkEnd w:id="21"/>
    <w:bookmarkStart w:id="22" w:name="billed-to"/>
    <w:p>
      <w:pPr>
        <w:pStyle w:val="Heading3"/>
      </w:pPr>
      <w:r>
        <w:t xml:space="preserve">Billed To</w:t>
      </w:r>
    </w:p>
    <w:p>
      <w:pPr>
        <w:pStyle w:val="FirstParagraph"/>
      </w:pPr>
      <w:r>
        <w:rPr>
          <w:bCs/>
          <w:b/>
        </w:rPr>
        <w:t xml:space="preserve">NorthSea Capital Partners N.V.</w:t>
      </w:r>
    </w:p>
    <w:p>
      <w:pPr>
        <w:pStyle w:val="BodyText"/>
      </w:pPr>
      <w:r>
        <w:t xml:space="preserve">Herengracht 180</w:t>
      </w:r>
    </w:p>
    <w:p>
      <w:pPr>
        <w:pStyle w:val="BodyText"/>
      </w:pPr>
      <w:r>
        <w:t xml:space="preserve">1015 BA Amsterdam, Netherlands</w:t>
      </w:r>
    </w:p>
    <w:p>
      <w:pPr>
        <w:pStyle w:val="BodyText"/>
      </w:pPr>
      <w:r>
        <w:t xml:space="preserve">KvK: 34567890</w:t>
      </w:r>
    </w:p>
    <w:p>
      <w:pPr>
        <w:pStyle w:val="BodyText"/>
      </w:pPr>
      <w:r>
        <w:t xml:space="preserve">Attn: Mr. J. van der Berg, CFO</w:t>
      </w:r>
    </w:p>
    <w:p>
      <w:pPr>
        <w:pStyle w:val="BodyText"/>
      </w:pPr>
      <w:r>
        <w:t xml:space="preserve">Email: j.vanderberg@northseacapital.nl</w:t>
      </w:r>
    </w:p>
    <w:bookmarkEnd w:id="22"/>
    <w:bookmarkStart w:id="23" w:name="service-provider"/>
    <w:p>
      <w:pPr>
        <w:pStyle w:val="Heading3"/>
      </w:pPr>
      <w:r>
        <w:t xml:space="preserve">Service Provider</w:t>
      </w:r>
    </w:p>
    <w:p>
      <w:pPr>
        <w:pStyle w:val="FirstParagraph"/>
      </w:pPr>
      <w:r>
        <w:rPr>
          <w:bCs/>
          <w:b/>
        </w:rPr>
        <w:t xml:space="preserve">Amsterdam Financial Advisory B.V.</w:t>
      </w:r>
    </w:p>
    <w:p>
      <w:pPr>
        <w:pStyle w:val="BodyText"/>
      </w:pPr>
      <w:r>
        <w:t xml:space="preserve">Keizersgracht 427</w:t>
      </w:r>
    </w:p>
    <w:p>
      <w:pPr>
        <w:pStyle w:val="BodyText"/>
      </w:pPr>
      <w:r>
        <w:t xml:space="preserve">1016 GC Amsterdam, Netherlands</w:t>
      </w:r>
    </w:p>
    <w:p>
      <w:pPr>
        <w:pStyle w:val="BodyText"/>
      </w:pPr>
      <w:r>
        <w:t xml:space="preserve">KvK: 87654321</w:t>
      </w:r>
    </w:p>
    <w:p>
      <w:pPr>
        <w:pStyle w:val="BodyText"/>
      </w:pPr>
      <w:r>
        <w:t xml:space="preserve">Attn: Ms. E. de Vries, Managing Director</w:t>
      </w:r>
    </w:p>
    <w:p>
      <w:pPr>
        <w:pStyle w:val="BodyText"/>
      </w:pPr>
      <w:r>
        <w:t xml:space="preserve">Email: e.devries@amsterdamfinancialadvisory.nl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Financial Analyst – Quarterly Financial Performance Analysis for NorthSea Capital Partners. Comprehensive review of Q1 2025 financial statements, variance analysis, and preparation of management reporting packages in accordance with Dutch GAAP and IFRS standards as applied in the Netherlands Amsterdam financial district.</w:t>
            </w:r>
          </w:p>
        </w:tc>
        <w:tc>
          <w:tcPr/>
          <w:p>
            <w:pPr>
              <w:pStyle w:val="Compact"/>
              <w:jc w:val="left"/>
            </w:pPr>
            <w:r>
              <w:t xml:space="preserve">48.0</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2</w:t>
            </w:r>
          </w:p>
        </w:tc>
        <w:tc>
          <w:tcPr/>
          <w:p>
            <w:pPr>
              <w:pStyle w:val="Compact"/>
              <w:jc w:val="left"/>
            </w:pPr>
            <w:r>
              <w:t xml:space="preserve">Financial Analyst – Portfolio Risk Assessment and Valuation Modelling. Development and execution of discounted cash flow models, Monte Carlo simulations, and sensitivity analyses for the client's diversified investment portfolio. All modelling conducted in compliance with De Nederlandsche Bank (DNB) regulatory guidelines applicable in the Netherlands Amsterdam jurisdiction.</w:t>
            </w:r>
          </w:p>
        </w:tc>
        <w:tc>
          <w:tcPr/>
          <w:p>
            <w:pPr>
              <w:pStyle w:val="Compact"/>
              <w:jc w:val="left"/>
            </w:pPr>
            <w:r>
              <w:t xml:space="preserve">36.0</w:t>
            </w:r>
          </w:p>
        </w:tc>
        <w:tc>
          <w:tcPr/>
          <w:p>
            <w:pPr>
              <w:pStyle w:val="Compact"/>
              <w:jc w:val="left"/>
            </w:pPr>
            <w:r>
              <w:t xml:space="preserve">€145.00</w:t>
            </w:r>
          </w:p>
        </w:tc>
        <w:tc>
          <w:tcPr/>
          <w:p>
            <w:pPr>
              <w:pStyle w:val="Compact"/>
              <w:jc w:val="left"/>
            </w:pPr>
            <w:r>
              <w:t xml:space="preserve">€5,220.00</w:t>
            </w:r>
          </w:p>
        </w:tc>
      </w:tr>
      <w:tr>
        <w:tc>
          <w:tcPr/>
          <w:p>
            <w:pPr>
              <w:pStyle w:val="Compact"/>
              <w:jc w:val="left"/>
            </w:pPr>
            <w:r>
              <w:t xml:space="preserve">3</w:t>
            </w:r>
          </w:p>
        </w:tc>
        <w:tc>
          <w:tcPr/>
          <w:p>
            <w:pPr>
              <w:pStyle w:val="Compact"/>
              <w:jc w:val="left"/>
            </w:pPr>
            <w:r>
              <w:t xml:space="preserve">Financial Analyst – Budget Forecasting and Scenario Planning. Preparation of detailed twelve-month rolling forecasts incorporating macroeconomic indicators specific to the Netherlands Amsterdam region, including GDP projections, interest rate scenarios from the European Central Bank, and sector-specific growth assumptions for the Dutch financial services market.</w:t>
            </w:r>
          </w:p>
        </w:tc>
        <w:tc>
          <w:tcPr/>
          <w:p>
            <w:pPr>
              <w:pStyle w:val="Compact"/>
              <w:jc w:val="left"/>
            </w:pPr>
            <w:r>
              <w:t xml:space="preserve">28.0</w:t>
            </w:r>
          </w:p>
        </w:tc>
        <w:tc>
          <w:tcPr/>
          <w:p>
            <w:pPr>
              <w:pStyle w:val="Compact"/>
              <w:jc w:val="left"/>
            </w:pPr>
            <w:r>
              <w:t xml:space="preserve">€145.00</w:t>
            </w:r>
          </w:p>
        </w:tc>
        <w:tc>
          <w:tcPr/>
          <w:p>
            <w:pPr>
              <w:pStyle w:val="Compact"/>
              <w:jc w:val="left"/>
            </w:pPr>
            <w:r>
              <w:t xml:space="preserve">€4,060.00</w:t>
            </w:r>
          </w:p>
        </w:tc>
      </w:tr>
      <w:tr>
        <w:tc>
          <w:tcPr/>
          <w:p>
            <w:pPr>
              <w:pStyle w:val="Compact"/>
              <w:jc w:val="left"/>
            </w:pPr>
            <w:r>
              <w:t xml:space="preserve">4</w:t>
            </w:r>
          </w:p>
        </w:tc>
        <w:tc>
          <w:tcPr/>
          <w:p>
            <w:pPr>
              <w:pStyle w:val="Compact"/>
              <w:jc w:val="left"/>
            </w:pPr>
            <w:r>
              <w:t xml:space="preserve">Financial Analyst – Regulatory Compliance Review and Tax Advisory Support. Assessment of the client's financial reporting obligations under Dutch tax law (Wet op de omzetbelasting), corporate income tax filings, and transfer pricing documentation. Coordination with the client's internal audit team based in the Netherlands Amsterdam headquarters.</w:t>
            </w:r>
          </w:p>
        </w:tc>
        <w:tc>
          <w:tcPr/>
          <w:p>
            <w:pPr>
              <w:pStyle w:val="Compact"/>
              <w:jc w:val="left"/>
            </w:pPr>
            <w:r>
              <w:t xml:space="preserve">20.0</w:t>
            </w:r>
          </w:p>
        </w:tc>
        <w:tc>
          <w:tcPr/>
          <w:p>
            <w:pPr>
              <w:pStyle w:val="Compact"/>
              <w:jc w:val="left"/>
            </w:pPr>
            <w:r>
              <w:t xml:space="preserve">€145.00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Financial Analyst – Board Presentation and Stakeholder Reporting. Design and delivery of executive-level financial dashboards, KPI summaries, and narrative commentary for the quarterly board meeting held in Amsterdam. Includes preparation of investor relations materials and annual report contributions aligned with the Dutch Corporate Governance Code.</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€21,460.00</w:t>
            </w:r>
          </w:p>
        </w:tc>
      </w:tr>
      <w:tr>
        <w:tc>
          <w:tcPr/>
          <w:p>
            <w:pPr>
              <w:pStyle w:val="Compact"/>
              <w:jc w:val="left"/>
            </w:pPr>
            <w:r>
              <w:t xml:space="preserve">VAT (21% – Netherlands Standard Rate)</w:t>
            </w:r>
          </w:p>
        </w:tc>
        <w:tc>
          <w:tcPr/>
          <w:p>
            <w:pPr>
              <w:pStyle w:val="Compact"/>
              <w:jc w:val="left"/>
            </w:pPr>
            <w:r>
              <w:t xml:space="preserve">€4,506.60</w:t>
            </w:r>
          </w:p>
        </w:tc>
      </w:tr>
      <w:tr>
        <w:tc>
          <w:tcPr/>
          <w:p>
            <w:pPr>
              <w:pStyle w:val="Compact"/>
              <w:jc w:val="left"/>
            </w:pPr>
            <w:r>
              <w:t xml:space="preserve">Total Amount Due</w:t>
            </w:r>
          </w:p>
        </w:tc>
        <w:tc>
          <w:tcPr/>
          <w:p>
            <w:pPr>
              <w:pStyle w:val="Compact"/>
              <w:jc w:val="left"/>
            </w:pPr>
            <w:r>
              <w:t xml:space="preserve">€25,966.60</w:t>
            </w:r>
          </w:p>
        </w:tc>
      </w:tr>
    </w:tbl>
    <w:bookmarkStart w:id="24" w:name="payment-instructions-notes"/>
    <w:p>
      <w:pPr>
        <w:pStyle w:val="Heading3"/>
      </w:pPr>
      <w:r>
        <w:t xml:space="preserve">Payment Instructions &amp; Notes</w:t>
      </w:r>
    </w:p>
    <w:p>
      <w:pPr>
        <w:pStyle w:val="FirstParagraph"/>
      </w:pPr>
      <w:r>
        <w:rPr>
          <w:bCs/>
          <w:b/>
        </w:rPr>
        <w:t xml:space="preserve">Bank Transfer (SEPA):</w:t>
      </w:r>
      <w:r>
        <w:t xml:space="preserve"> </w:t>
      </w:r>
      <w:r>
        <w:t xml:space="preserve">Please remit payment to Amsterdam Financial Advisory B.V., IBAN: NL91 ABNA 0417 1643 00, BIC: ABNANL2A, Reference: INV-2025-0487.</w:t>
      </w:r>
    </w:p>
    <w:p>
      <w:pPr>
        <w:pStyle w:val="BodyText"/>
      </w:pPr>
      <w:r>
        <w:rPr>
          <w:bCs/>
          <w:b/>
        </w:rPr>
        <w:t xml:space="preserve">Payment Terms:</w:t>
      </w:r>
      <w:r>
        <w:t xml:space="preserve"> </w:t>
      </w:r>
      <w:r>
        <w:t xml:space="preserve">This invoice is payable within fourteen (14) calendar days from the issue date, in accordance with the Dutch Payment Terms Act (Wet betalingsvoorwaarden). Late payments will incur statutory interest at the rate prescribed by the Netherlands Amsterdam commercial courts.</w:t>
      </w:r>
    </w:p>
    <w:p>
      <w:pPr>
        <w:pStyle w:val="BodyText"/>
      </w:pPr>
      <w:r>
        <w:rPr>
          <w:bCs/>
          <w:b/>
        </w:rPr>
        <w:t xml:space="preserve">Scope Confirmation:</w:t>
      </w:r>
      <w:r>
        <w:t xml:space="preserve"> </w:t>
      </w:r>
      <w:r>
        <w:t xml:space="preserve">All Financial Analyst services rendered under this invoice have been performed in full compliance with the engagement letter dated 1 March 2025 and the professional standards of the Dutch Society of Accountants (NOAB). The Financial Analyst team operated from our offices in the Netherlands Amsterdam financial centre throughout the billing period.</w:t>
      </w:r>
    </w:p>
    <w:p>
      <w:pPr>
        <w:pStyle w:val="BodyText"/>
      </w:pPr>
      <w:r>
        <w:rPr>
          <w:bCs/>
          <w:b/>
        </w:rPr>
        <w:t xml:space="preserve">Confidentiality:</w:t>
      </w:r>
      <w:r>
        <w:t xml:space="preserve"> </w:t>
      </w:r>
      <w:r>
        <w:t xml:space="preserve">All financial data, models, and analytical outputs delivered under this invoice are subject to strict confidentiality obligations as stipulated in the mutual Non-Disclosure Agreement executed between both parties in the Netherlands Amsterdam jurisdiction.</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Financial Analyst professional services rendered by Amsterdam Financial Advisory B.V. to NorthSea Capital Partners N.V. during the period of 1 April 2025 through 31 May 2025.</w:t>
      </w:r>
    </w:p>
    <w:p>
      <w:pPr>
        <w:pStyle w:val="BodyText"/>
      </w:pPr>
      <w:r>
        <w:t xml:space="preserve">2. All services described herein were performed by qualified Financial Analyst professionals registered with the Dutch professional bodies and operating under the supervision of a chartered accountant licensed in the Netherlands Amsterdam region.</w:t>
      </w:r>
    </w:p>
    <w:p>
      <w:pPr>
        <w:pStyle w:val="BodyText"/>
      </w:pPr>
      <w:r>
        <w:t xml:space="preserve">3. The VAT (Belasting over de Toegevoegde Waarde) charged on this invoice is calculated at the standard Dutch rate of 21%, in accordance with the Wet op de omzetbelasting 1968. The VAT identification number of the service provider is NL861234567B01.</w:t>
      </w:r>
    </w:p>
    <w:p>
      <w:pPr>
        <w:pStyle w:val="BodyText"/>
      </w:pPr>
      <w:r>
        <w:t xml:space="preserve">4. In the event of any dispute regarding the amounts stated on this invoice, both parties agree to first attempt resolution through good-faith negotiation. Should resolution not be achieved within thirty (30) days, the matter shall be submitted to the competent court in the Netherlands Amsterdam district.</w:t>
      </w:r>
    </w:p>
    <w:p>
      <w:pPr>
        <w:pStyle w:val="BodyText"/>
      </w:pPr>
      <w:r>
        <w:t xml:space="preserve">5. This invoice is governed by the laws of the Kingdom of the Netherlands. The Financial Analyst services described are subject to the professional liability insurance held by Amsterdam Financial Advisory B.V. with a coverage limit of €5,000,000 per claim.</w:t>
      </w:r>
    </w:p>
    <w:p>
      <w:pPr>
        <w:pStyle w:val="BodyText"/>
      </w:pPr>
      <w:r>
        <w:t xml:space="preserve">6. No part of the services billed under this invoice may be resold, sublicensed, or transferred to any third party without the prior written consent of Amsterdam Financial Advisory B.V., registered in the Netherlands Amsterdam Chamber of Commerce (Kamer van Koophandel).</w:t>
      </w:r>
    </w:p>
    <w:bookmarkEnd w:id="25"/>
    <w:p>
      <w:pPr>
        <w:pStyle w:val="BodyText"/>
      </w:pPr>
      <w:r>
        <w:rPr>
          <w:bCs/>
          <w:b/>
        </w:rPr>
        <w:t xml:space="preserve">Amsterdam Financial Advisory B.V.</w:t>
      </w:r>
      <w:r>
        <w:t xml:space="preserve"> </w:t>
      </w:r>
      <w:r>
        <w:t xml:space="preserve">| Keizersgracht 427, 1016 GC Amsterdam, Netherlands</w:t>
      </w:r>
    </w:p>
    <w:p>
      <w:pPr>
        <w:pStyle w:val="BodyText"/>
      </w:pPr>
      <w:r>
        <w:t xml:space="preserve">KvK: 87654321 | BTW: NL861234567B01 | Chamber of Commerce: Netherlands Amsterdam</w:t>
      </w:r>
    </w:p>
    <w:p>
      <w:pPr>
        <w:pStyle w:val="BodyText"/>
      </w:pPr>
      <w:r>
        <w:t xml:space="preserve">This invoice was generated electronically and is valid without a physical signature in accordance with Dutch electronic invoicing regulations.</w:t>
      </w:r>
    </w:p>
    <w:p>
      <w:pPr>
        <w:pStyle w:val="BodyText"/>
      </w:pPr>
      <w:r>
        <w:t xml:space="preserve">Thank you for engaging our Financial Analyst team. We look forward to continuing our professional relationship in the Netherlands Amsterdam financial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Netherlands Amsterdam</dc:title>
  <dc:creator/>
  <dc:language>en</dc:language>
  <cp:keywords/>
  <dcterms:created xsi:type="dcterms:W3CDTF">2026-10-10T09:08:53Z</dcterms:created>
  <dcterms:modified xsi:type="dcterms:W3CDTF">2026-10-10T09:08:53Z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