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pex-financial-advisory-pvt.-ltd."/>
    <w:p>
      <w:pPr>
        <w:pStyle w:val="Heading1"/>
      </w:pPr>
      <w:r>
        <w:t xml:space="preserve">Apex Financial Advisory (Pvt.) Ltd.</w:t>
      </w:r>
    </w:p>
    <w:p>
      <w:pPr>
        <w:pStyle w:val="FirstParagraph"/>
      </w:pPr>
      <w:r>
        <w:t xml:space="preserve">Plot 42, Blue Area, Jinnah Avenue</w:t>
      </w:r>
    </w:p>
    <w:p>
      <w:pPr>
        <w:pStyle w:val="BodyText"/>
      </w:pPr>
      <w:r>
        <w:t xml:space="preserve">Pakistan Islamabad, 44000</w:t>
      </w:r>
    </w:p>
    <w:p>
      <w:pPr>
        <w:pStyle w:val="BodyText"/>
      </w:pPr>
      <w:r>
        <w:t xml:space="preserve">Phone: +92-51-227-4567 | Email: billing@apexfinancial.pk</w:t>
      </w:r>
    </w:p>
    <w:p>
      <w:pPr>
        <w:pStyle w:val="BodyText"/>
      </w:pPr>
      <w:r>
        <w:t xml:space="preserve">NTN: 1234567-8 | STRN: 001234567890123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AFA-2025-00847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Services</w:t>
      </w:r>
    </w:p>
    <w:bookmarkEnd w:id="21"/>
    <w:bookmarkStart w:id="22" w:name="billed-by-service-provider"/>
    <w:p>
      <w:pPr>
        <w:pStyle w:val="Heading3"/>
      </w:pPr>
      <w:r>
        <w:t xml:space="preserve">Billed By (Service Provider)</w:t>
      </w:r>
    </w:p>
    <w:p>
      <w:pPr>
        <w:pStyle w:val="FirstParagraph"/>
      </w:pPr>
      <w:r>
        <w:rPr>
          <w:bCs/>
          <w:b/>
        </w:rPr>
        <w:t xml:space="preserve">Apex Financial Advisory (Pvt.) Ltd.</w:t>
      </w:r>
    </w:p>
    <w:p>
      <w:pPr>
        <w:pStyle w:val="BodyText"/>
      </w:pPr>
      <w:r>
        <w:t xml:space="preserve">Plot 42, Blue Area, Jinnah Avenue</w:t>
      </w:r>
    </w:p>
    <w:p>
      <w:pPr>
        <w:pStyle w:val="BodyText"/>
      </w:pPr>
      <w:r>
        <w:t xml:space="preserve">Pakistan Islamabad, 44000</w:t>
      </w:r>
    </w:p>
    <w:p>
      <w:pPr>
        <w:pStyle w:val="BodyText"/>
      </w:pPr>
      <w:r>
        <w:t xml:space="preserve">NTN: 1234567-8</w:t>
      </w:r>
    </w:p>
    <w:p>
      <w:pPr>
        <w:pStyle w:val="BodyText"/>
      </w:pPr>
      <w:r>
        <w:t xml:space="preserve">Bank: HBL, Branch: Blue Area Islamabad</w:t>
      </w:r>
    </w:p>
    <w:p>
      <w:pPr>
        <w:pStyle w:val="BodyText"/>
      </w:pPr>
      <w:r>
        <w:t xml:space="preserve">Account No: 0012-3456-7890-1234</w:t>
      </w:r>
    </w:p>
    <w:p>
      <w:pPr>
        <w:pStyle w:val="BodyText"/>
      </w:pPr>
      <w:r>
        <w:t xml:space="preserve">IBAN: PK00HABB0012345678901234</w:t>
      </w:r>
    </w:p>
    <w:bookmarkEnd w:id="22"/>
    <w:bookmarkStart w:id="23" w:name="billed-to-client"/>
    <w:p>
      <w:pPr>
        <w:pStyle w:val="Heading3"/>
      </w:pPr>
      <w:r>
        <w:t xml:space="preserve">Billed To (Client)</w:t>
      </w:r>
    </w:p>
    <w:p>
      <w:pPr>
        <w:pStyle w:val="FirstParagraph"/>
      </w:pPr>
      <w:r>
        <w:rPr>
          <w:bCs/>
          <w:b/>
        </w:rPr>
        <w:t xml:space="preserve">State Bank of Pakistan – Corporate Division</w:t>
      </w:r>
    </w:p>
    <w:p>
      <w:pPr>
        <w:pStyle w:val="BodyText"/>
      </w:pPr>
      <w:r>
        <w:t xml:space="preserve">Head Office, I-9/2, Islamabad</w:t>
      </w:r>
    </w:p>
    <w:p>
      <w:pPr>
        <w:pStyle w:val="BodyText"/>
      </w:pPr>
      <w:r>
        <w:t xml:space="preserve">Pakistan Islamabad, 44000</w:t>
      </w:r>
    </w:p>
    <w:p>
      <w:pPr>
        <w:pStyle w:val="BodyText"/>
      </w:pPr>
      <w:r>
        <w:t xml:space="preserve">Attention: Mr. Ahmed Raza, Chief Financial Officer</w:t>
      </w:r>
    </w:p>
    <w:p>
      <w:pPr>
        <w:pStyle w:val="BodyText"/>
      </w:pPr>
      <w:r>
        <w:t xml:space="preserve">Contact: +92-51-920-1122</w:t>
      </w:r>
    </w:p>
    <w:p>
      <w:pPr>
        <w:pStyle w:val="BodyText"/>
      </w:pPr>
      <w:r>
        <w:t xml:space="preserve">Email: cfo.corporate@sbp.org.pk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(PKR)</w:t>
            </w:r>
          </w:p>
        </w:tc>
        <w:tc>
          <w:tcPr/>
          <w:p>
            <w:pPr>
              <w:pStyle w:val="Compact"/>
              <w:jc w:val="left"/>
            </w:pPr>
            <w:r>
              <w:t xml:space="preserve">Hours</w:t>
            </w:r>
          </w:p>
        </w:tc>
        <w:tc>
          <w:tcPr/>
          <w:p>
            <w:pPr>
              <w:pStyle w:val="Compact"/>
              <w:jc w:val="left"/>
            </w:pPr>
            <w:r>
              <w:t xml:space="preserve">Amount (PKR)</w:t>
            </w:r>
          </w:p>
        </w:tc>
        <w:tc>
          <w:tcPr/>
          <w:p>
            <w:pPr>
              <w:pStyle w:val="Compact"/>
              <w:jc w:val="left"/>
            </w:pPr>
            <w:r>
              <w:t xml:space="preserve">Tax (18% GST)</w:t>
            </w:r>
          </w:p>
        </w:tc>
      </w:tr>
      <w:tr>
        <w:tc>
          <w:tcPr/>
          <w:p>
            <w:pPr>
              <w:pStyle w:val="Compact"/>
              <w:jc w:val="left"/>
            </w:pPr>
            <w:r>
              <w:t xml:space="preserve">1</w:t>
            </w:r>
          </w:p>
        </w:tc>
        <w:tc>
          <w:tcPr/>
          <w:p>
            <w:pPr>
              <w:pStyle w:val="Compact"/>
              <w:jc w:val="left"/>
            </w:pPr>
            <w:r>
              <w:t xml:space="preserve">Comprehensive Financial Statement Analysis and Ratio Interpretation for Q1 FY2025. The Financial Analyst conducted a thorough review of balance sheets, income statements, and cash flow statements to identify key performance indicators and anomalies within the corporate portfolio.</w:t>
            </w:r>
          </w:p>
        </w:tc>
        <w:tc>
          <w:tcPr/>
          <w:p>
            <w:pPr>
              <w:pStyle w:val="Compact"/>
              <w:jc w:val="left"/>
            </w:pPr>
            <w:r>
              <w:t xml:space="preserve">8,500</w:t>
            </w:r>
          </w:p>
        </w:tc>
        <w:tc>
          <w:tcPr/>
          <w:p>
            <w:pPr>
              <w:pStyle w:val="Compact"/>
              <w:jc w:val="left"/>
            </w:pPr>
            <w:r>
              <w:t xml:space="preserve">24</w:t>
            </w:r>
          </w:p>
        </w:tc>
        <w:tc>
          <w:tcPr/>
          <w:p>
            <w:pPr>
              <w:pStyle w:val="Compact"/>
              <w:jc w:val="left"/>
            </w:pPr>
            <w:r>
              <w:t xml:space="preserve">204,000.00</w:t>
            </w:r>
          </w:p>
        </w:tc>
        <w:tc>
          <w:tcPr/>
          <w:p>
            <w:pPr>
              <w:pStyle w:val="Compact"/>
              <w:jc w:val="left"/>
            </w:pPr>
            <w:r>
              <w:t xml:space="preserve">36,720.00</w:t>
            </w:r>
          </w:p>
        </w:tc>
      </w:tr>
      <w:tr>
        <w:tc>
          <w:tcPr/>
          <w:p>
            <w:pPr>
              <w:pStyle w:val="Compact"/>
              <w:jc w:val="left"/>
            </w:pPr>
            <w:r>
              <w:t xml:space="preserve">2</w:t>
            </w:r>
          </w:p>
        </w:tc>
        <w:tc>
          <w:tcPr/>
          <w:p>
            <w:pPr>
              <w:pStyle w:val="Compact"/>
              <w:jc w:val="left"/>
            </w:pPr>
            <w:r>
              <w:t xml:space="preserve">Development of a Multi-Scenario Financial Forecasting Model for FY2026. The Financial Analyst built a dynamic Excel-based projection model incorporating macroeconomic variables specific to Pakistan Islamabad's economic corridor, including inflation adjustments, currency fluctuation scenarios, and sector-specific growth assumptions.</w:t>
            </w:r>
          </w:p>
        </w:tc>
        <w:tc>
          <w:tcPr/>
          <w:p>
            <w:pPr>
              <w:pStyle w:val="Compact"/>
              <w:jc w:val="left"/>
            </w:pPr>
            <w:r>
              <w:t xml:space="preserve">9,200</w:t>
            </w:r>
          </w:p>
        </w:tc>
        <w:tc>
          <w:tcPr/>
          <w:p>
            <w:pPr>
              <w:pStyle w:val="Compact"/>
              <w:jc w:val="left"/>
            </w:pPr>
            <w:r>
              <w:t xml:space="preserve">32</w:t>
            </w:r>
          </w:p>
        </w:tc>
        <w:tc>
          <w:tcPr/>
          <w:p>
            <w:pPr>
              <w:pStyle w:val="Compact"/>
              <w:jc w:val="left"/>
            </w:pPr>
            <w:r>
              <w:t xml:space="preserve">294,400.00</w:t>
            </w:r>
          </w:p>
        </w:tc>
        <w:tc>
          <w:tcPr/>
          <w:p>
            <w:pPr>
              <w:pStyle w:val="Compact"/>
              <w:jc w:val="left"/>
            </w:pPr>
            <w:r>
              <w:t xml:space="preserve">52,992.00</w:t>
            </w:r>
          </w:p>
        </w:tc>
      </w:tr>
      <w:tr>
        <w:tc>
          <w:tcPr/>
          <w:p>
            <w:pPr>
              <w:pStyle w:val="Compact"/>
              <w:jc w:val="left"/>
            </w:pPr>
            <w:r>
              <w:t xml:space="preserve">3</w:t>
            </w:r>
          </w:p>
        </w:tc>
        <w:tc>
          <w:tcPr/>
          <w:p>
            <w:pPr>
              <w:pStyle w:val="Compact"/>
              <w:jc w:val="left"/>
            </w:pPr>
            <w:r>
              <w:t xml:space="preserve">Portfolio Risk Assessment and Capital Allocation Strategy. The Financial Analyst performed a detailed Value-at-Risk (VaR) analysis across the client's diversified investment portfolio, recommending reallocation strategies aligned with the State Bank of Pakistan's monetary policy directives effective in Pakistan Islamabad.</w:t>
            </w:r>
          </w:p>
        </w:tc>
        <w:tc>
          <w:tcPr/>
          <w:p>
            <w:pPr>
              <w:pStyle w:val="Compact"/>
              <w:jc w:val="left"/>
            </w:pPr>
            <w:r>
              <w:t xml:space="preserve">10,000</w:t>
            </w:r>
          </w:p>
        </w:tc>
        <w:tc>
          <w:tcPr/>
          <w:p>
            <w:pPr>
              <w:pStyle w:val="Compact"/>
              <w:jc w:val="left"/>
            </w:pPr>
            <w:r>
              <w:t xml:space="preserve">28</w:t>
            </w:r>
          </w:p>
        </w:tc>
        <w:tc>
          <w:tcPr/>
          <w:p>
            <w:pPr>
              <w:pStyle w:val="Compact"/>
              <w:jc w:val="left"/>
            </w:pPr>
            <w:r>
              <w:t xml:space="preserve">280,000.00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Regulatory Compliance Review and SECP Filing Preparation. The Financial Analyst ensured all financial disclosures met the Securities and Exchange Commission of Pakistan (SECP) requirements, preparing audit-ready documentation and variance explanations for the annual filing cycle in Pakistan Islamabad.</w:t>
            </w:r>
          </w:p>
        </w:tc>
        <w:tc>
          <w:tcPr/>
          <w:p>
            <w:pPr>
              <w:pStyle w:val="Compact"/>
              <w:jc w:val="left"/>
            </w:pPr>
            <w:r>
              <w:t xml:space="preserve">7,800</w:t>
            </w:r>
          </w:p>
        </w:tc>
        <w:tc>
          <w:tcPr/>
          <w:p>
            <w:pPr>
              <w:pStyle w:val="Compact"/>
              <w:jc w:val="left"/>
            </w:pPr>
            <w:r>
              <w:t xml:space="preserve">16</w:t>
            </w:r>
          </w:p>
        </w:tc>
        <w:tc>
          <w:tcPr/>
          <w:p>
            <w:pPr>
              <w:pStyle w:val="Compact"/>
              <w:jc w:val="left"/>
            </w:pPr>
            <w:r>
              <w:t xml:space="preserve">124,800.00</w:t>
            </w:r>
          </w:p>
        </w:tc>
        <w:tc>
          <w:tcPr/>
          <w:p>
            <w:pPr>
              <w:pStyle w:val="Compact"/>
              <w:jc w:val="left"/>
            </w:pPr>
            <w:r>
              <w:t xml:space="preserve">22,464.00</w:t>
            </w:r>
          </w:p>
        </w:tc>
      </w:tr>
      <w:tr>
        <w:tc>
          <w:tcPr/>
          <w:p>
            <w:pPr>
              <w:pStyle w:val="Compact"/>
              <w:jc w:val="left"/>
            </w:pPr>
            <w:r>
              <w:t xml:space="preserve">5</w:t>
            </w:r>
          </w:p>
        </w:tc>
        <w:tc>
          <w:tcPr/>
          <w:p>
            <w:pPr>
              <w:pStyle w:val="Compact"/>
              <w:jc w:val="left"/>
            </w:pPr>
            <w:r>
              <w:t xml:space="preserve">Executive Presentation and Board Advisory Session. The Financial Analyst prepared and delivered a 45-minute strategic briefing to the Board of Directors, presenting key findings, risk heat maps, and actionable recommendations for the upcoming fiscal quarter in Pakistan Islamabad.</w:t>
            </w:r>
          </w:p>
        </w:tc>
        <w:tc>
          <w:tcPr/>
          <w:p>
            <w:pPr>
              <w:pStyle w:val="Compact"/>
              <w:jc w:val="left"/>
            </w:pPr>
            <w:r>
              <w:t xml:space="preserve">12,000</w:t>
            </w:r>
          </w:p>
        </w:tc>
        <w:tc>
          <w:tcPr/>
          <w:p>
            <w:pPr>
              <w:pStyle w:val="Compact"/>
              <w:jc w:val="left"/>
            </w:pPr>
            <w:r>
              <w:t xml:space="preserve">8</w:t>
            </w:r>
          </w:p>
        </w:tc>
        <w:tc>
          <w:tcPr/>
          <w:p>
            <w:pPr>
              <w:pStyle w:val="Compact"/>
              <w:jc w:val="left"/>
            </w:pPr>
            <w:r>
              <w:t xml:space="preserve">96,000.00</w:t>
            </w:r>
          </w:p>
        </w:tc>
        <w:tc>
          <w:tcPr/>
          <w:p>
            <w:pPr>
              <w:pStyle w:val="Compact"/>
              <w:jc w:val="left"/>
            </w:pPr>
            <w:r>
              <w:t xml:space="preserve">17,280.00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999,200.00</w:t>
            </w:r>
          </w:p>
        </w:tc>
      </w:tr>
      <w:tr>
        <w:tc>
          <w:tcPr/>
          <w:p>
            <w:pPr>
              <w:pStyle w:val="Compact"/>
              <w:jc w:val="left"/>
            </w:pPr>
            <w:r>
              <w:t xml:space="preserve">GST @ 18% (PKR)</w:t>
            </w:r>
          </w:p>
        </w:tc>
        <w:tc>
          <w:tcPr/>
          <w:p>
            <w:pPr>
              <w:pStyle w:val="Compact"/>
              <w:jc w:val="left"/>
            </w:pPr>
            <w:r>
              <w:t xml:space="preserve">179,856.00</w:t>
            </w:r>
          </w:p>
        </w:tc>
      </w:tr>
      <w:tr>
        <w:tc>
          <w:tcPr/>
          <w:p>
            <w:pPr>
              <w:pStyle w:val="Compact"/>
              <w:jc w:val="left"/>
            </w:pPr>
            <w:r>
              <w:t xml:space="preserve">Withholding Tax @ 15% (PKR)</w:t>
            </w:r>
          </w:p>
        </w:tc>
        <w:tc>
          <w:tcPr/>
          <w:p>
            <w:pPr>
              <w:pStyle w:val="Compact"/>
              <w:jc w:val="left"/>
            </w:pPr>
            <w:r>
              <w:t xml:space="preserve">(149,880.00)</w:t>
            </w:r>
          </w:p>
        </w:tc>
      </w:tr>
      <w:tr>
        <w:tc>
          <w:tcPr/>
          <w:p>
            <w:pPr>
              <w:pStyle w:val="Compact"/>
              <w:jc w:val="left"/>
            </w:pPr>
            <w:r>
              <w:t xml:space="preserve">Net Payable Amount (PKR)</w:t>
            </w:r>
          </w:p>
        </w:tc>
        <w:tc>
          <w:tcPr/>
          <w:p>
            <w:pPr>
              <w:pStyle w:val="Compact"/>
              <w:jc w:val="left"/>
            </w:pPr>
            <w:r>
              <w:t xml:space="preserve">1,029,176.00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days from the Invoice date (i.e., on or before 30 June 2025).</w:t>
      </w:r>
    </w:p>
    <w:p>
      <w:pPr>
        <w:pStyle w:val="BodyText"/>
      </w:pPr>
      <w:r>
        <w:rPr>
          <w:bCs/>
          <w:b/>
        </w:rPr>
        <w:t xml:space="preserve">Payment Method:</w:t>
      </w:r>
      <w:r>
        <w:t xml:space="preserve"> </w:t>
      </w:r>
      <w:r>
        <w:t xml:space="preserve">Bank Transfer / RTGS to the account details listed above. Please reference Invoice No. AFA-2025-00847 in your remittance advice.</w:t>
      </w:r>
    </w:p>
    <w:p>
      <w:pPr>
        <w:pStyle w:val="BodyText"/>
      </w:pPr>
      <w:r>
        <w:rPr>
          <w:bCs/>
          <w:b/>
        </w:rPr>
        <w:t xml:space="preserve">Late Payment:</w:t>
      </w:r>
      <w:r>
        <w:t xml:space="preserve"> </w:t>
      </w:r>
      <w:r>
        <w:t xml:space="preserve">A penalty of 2% per month (or the maximum rate permitted under the State Bank of Pakistan's prevailing interest rate guidelines) shall be applied to overdue balances as per the terms of our Service Agreement dated 01 January 2025.</w:t>
      </w:r>
    </w:p>
    <w:p>
      <w:pPr>
        <w:pStyle w:val="BodyText"/>
      </w:pPr>
      <w:r>
        <w:rPr>
          <w:bCs/>
          <w:b/>
        </w:rPr>
        <w:t xml:space="preserve">Currency:</w:t>
      </w:r>
      <w:r>
        <w:t xml:space="preserve"> </w:t>
      </w:r>
      <w:r>
        <w:t xml:space="preserve">All amounts are denominated in Pakistani Rupees (PKR) and are payable in Pakistan Islamabad or via electronic transfer to a local bank account.</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Federal Board of Revenue (FBR) regulations applicable in Pakistan Islamabad. The Financial Analyst services rendered are subject to the Master Service Agreement (MSA) between both parties.</w:t>
      </w:r>
    </w:p>
    <w:p>
      <w:pPr>
        <w:numPr>
          <w:ilvl w:val="0"/>
          <w:numId w:val="1001"/>
        </w:numPr>
        <w:pStyle w:val="Compact"/>
      </w:pPr>
      <w:r>
        <w:t xml:space="preserve">All Financial Analyst deliverables, including but not limited to forecasting models, risk reports, and compliance documentation, remain the intellectual property of Apex Financial Advisory (Pvt.) Ltd. unless otherwise stated in the engagement letter.</w:t>
      </w:r>
    </w:p>
    <w:p>
      <w:pPr>
        <w:numPr>
          <w:ilvl w:val="0"/>
          <w:numId w:val="1001"/>
        </w:numPr>
        <w:pStyle w:val="Compact"/>
      </w:pPr>
      <w:r>
        <w:t xml:space="preserve">The client acknowledges that the Financial Analyst's analysis is based on data provided by the client as of the reporting date and does not constitute a guarantee of future financial performance.</w:t>
      </w:r>
    </w:p>
    <w:p>
      <w:pPr>
        <w:numPr>
          <w:ilvl w:val="0"/>
          <w:numId w:val="1001"/>
        </w:numPr>
        <w:pStyle w:val="Compact"/>
      </w:pPr>
      <w:r>
        <w:t xml:space="preserve">Any disputes arising from this Invoice shall be resolved through arbitration in Pakistan Islamabad in accordance with the Arbitration Act, 1940 of Pakistan.</w:t>
      </w:r>
    </w:p>
    <w:p>
      <w:pPr>
        <w:numPr>
          <w:ilvl w:val="0"/>
          <w:numId w:val="1001"/>
        </w:numPr>
        <w:pStyle w:val="Compact"/>
      </w:pPr>
      <w:r>
        <w:t xml:space="preserve">This Invoice is valid for 90 days from the date of issue. After this period, a revised Invoice may be issued reflecting any applicable regulatory or tax changes in Pakistan Islamabad.</w:t>
      </w:r>
    </w:p>
    <w:p>
      <w:pPr>
        <w:numPr>
          <w:ilvl w:val="0"/>
          <w:numId w:val="1001"/>
        </w:numPr>
        <w:pStyle w:val="Compact"/>
      </w:pPr>
      <w:r>
        <w:t xml:space="preserve">Withholding tax has been deducted at source as mandated by the Income Tax Ordinance, 2001. The client is responsible for filing the relevant tax return with the FBR Islamabad Regional Office.</w:t>
      </w:r>
    </w:p>
    <w:bookmarkEnd w:id="25"/>
    <w:p>
      <w:pPr>
        <w:pStyle w:val="FirstParagraph"/>
      </w:pPr>
      <w:r>
        <w:rPr>
          <w:bCs/>
          <w:b/>
        </w:rPr>
        <w:t xml:space="preserve">Apex Financial Advisory (Pvt.) Ltd.</w:t>
      </w:r>
      <w:r>
        <w:t xml:space="preserve"> </w:t>
      </w:r>
      <w:r>
        <w:t xml:space="preserve">| Plot 42, Blue Area, Jinnah Avenue, Pakistan Islamabad, 44000</w:t>
      </w:r>
    </w:p>
    <w:p>
      <w:pPr>
        <w:pStyle w:val="BodyText"/>
      </w:pPr>
      <w:r>
        <w:t xml:space="preserve">Registered with the Securities and Exchange Commission of Pakistan (SECP) | NTN: 1234567-8</w:t>
      </w:r>
    </w:p>
    <w:p>
      <w:pPr>
        <w:pStyle w:val="BodyText"/>
      </w:pPr>
      <w:r>
        <w:t xml:space="preserve">This is a computer-generated Invoice and does not require a physical signature. For queries, contact billing@apexfinancial.pk or +92-51-227-4567.</w:t>
      </w:r>
    </w:p>
    <w:p>
      <w:pPr>
        <w:pStyle w:val="BodyText"/>
      </w:pPr>
      <w:r>
        <w:t xml:space="preserve">© 2025 Apex Financial Advisory (Pvt.) Ltd. All Rights Reserved. | Invoice Generated: 15 June 2025, 10:42 AM PKT (Pakistan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Pakistan Islamabad</dc:title>
  <dc:creator/>
  <dc:language>en</dc:language>
  <cp:keywords/>
  <dcterms:created xsi:type="dcterms:W3CDTF">2026-10-10T07:02:50Z</dcterms:created>
  <dcterms:modified xsi:type="dcterms:W3CDTF">2026-10-10T07:02:50Z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