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eridian-financial-advisory-group"/>
    <w:p>
      <w:pPr>
        <w:pStyle w:val="Heading1"/>
      </w:pPr>
      <w:r>
        <w:t xml:space="preserve">Meridian Financial Advisory Group</w:t>
      </w:r>
    </w:p>
    <w:p>
      <w:pPr>
        <w:pStyle w:val="FirstParagraph"/>
      </w:pPr>
      <w:r>
        <w:t xml:space="preserve">12th Floor, Ayala Center Tower 3</w:t>
      </w:r>
    </w:p>
    <w:p>
      <w:pPr>
        <w:pStyle w:val="BodyText"/>
      </w:pPr>
      <w:r>
        <w:t xml:space="preserve">6811 Ayala Avenue, Makati City</w:t>
      </w:r>
    </w:p>
    <w:p>
      <w:pPr>
        <w:pStyle w:val="BodyText"/>
      </w:pPr>
      <w:r>
        <w:t xml:space="preserve">Philippines Manila, 1226</w:t>
      </w:r>
    </w:p>
    <w:p>
      <w:pPr>
        <w:pStyle w:val="BodyText"/>
      </w:pPr>
      <w:r>
        <w:t xml:space="preserve">Tel: +63 (2) 8887-4521 | Email: billing@meridianfa.com.ph</w:t>
      </w:r>
    </w:p>
    <w:p>
      <w:pPr>
        <w:pStyle w:val="BodyText"/>
      </w:pPr>
      <w:r>
        <w:t xml:space="preserve">TIN: 000-123-456-000 | BIR Registration No. 2019-0456-789</w:t>
      </w:r>
    </w:p>
    <w:bookmarkEnd w:id="20"/>
    <w:bookmarkStart w:id="21" w:name="invoice"/>
    <w:p>
      <w:pPr>
        <w:pStyle w:val="Heading2"/>
      </w:pPr>
      <w:r>
        <w:t xml:space="preserve">INVOICE</w:t>
      </w:r>
    </w:p>
    <w:p>
      <w:pPr>
        <w:pStyle w:val="FirstParagraph"/>
      </w:pPr>
      <w:r>
        <w:t xml:space="preserve">Invoice No.: MFA-2025-00487</w:t>
      </w:r>
    </w:p>
    <w:p>
      <w:pPr>
        <w:pStyle w:val="BodyText"/>
      </w:pPr>
      <w:r>
        <w:t xml:space="preserve">Date Issued: June 15, 2025</w:t>
      </w:r>
    </w:p>
    <w:p>
      <w:pPr>
        <w:pStyle w:val="BodyText"/>
      </w:pPr>
      <w:r>
        <w:t xml:space="preserve">Due Date: July 15, 2025</w:t>
      </w:r>
    </w:p>
    <w:p>
      <w:pPr>
        <w:pStyle w:val="BodyText"/>
      </w:pPr>
      <w:r>
        <w:t xml:space="preserve">Payment Due in 30 Days</w:t>
      </w:r>
    </w:p>
    <w:bookmarkEnd w:id="21"/>
    <w:bookmarkStart w:id="22" w:name="billed-to"/>
    <w:p>
      <w:pPr>
        <w:pStyle w:val="Heading3"/>
      </w:pPr>
      <w:r>
        <w:t xml:space="preserve">Billed To</w:t>
      </w:r>
    </w:p>
    <w:p>
      <w:pPr>
        <w:pStyle w:val="FirstParagraph"/>
      </w:pPr>
      <w:r>
        <w:t xml:space="preserve">Pacific Rim Holdings Corporation</w:t>
      </w:r>
    </w:p>
    <w:p>
      <w:pPr>
        <w:pStyle w:val="BodyText"/>
      </w:pPr>
      <w:r>
        <w:t xml:space="preserve">Attn: Mr. Ricardo Tan, Chief Financial Officer</w:t>
      </w:r>
    </w:p>
    <w:p>
      <w:pPr>
        <w:pStyle w:val="BodyText"/>
      </w:pPr>
      <w:r>
        <w:t xml:space="preserve">34th Floor, BDO Corporate Center</w:t>
      </w:r>
    </w:p>
    <w:p>
      <w:pPr>
        <w:pStyle w:val="BodyText"/>
      </w:pPr>
      <w:r>
        <w:t xml:space="preserve">10050 Ortigas Avenue, Pasig City</w:t>
      </w:r>
    </w:p>
    <w:p>
      <w:pPr>
        <w:pStyle w:val="BodyText"/>
      </w:pPr>
      <w:r>
        <w:t xml:space="preserve">Philippines Manila, 1600</w:t>
      </w:r>
    </w:p>
    <w:p>
      <w:pPr>
        <w:pStyle w:val="BodyText"/>
      </w:pPr>
      <w:r>
        <w:t xml:space="preserve">TIN: 123-456-789-000</w:t>
      </w:r>
    </w:p>
    <w:bookmarkEnd w:id="22"/>
    <w:bookmarkStart w:id="23" w:name="service-provider"/>
    <w:p>
      <w:pPr>
        <w:pStyle w:val="Heading3"/>
      </w:pPr>
      <w:r>
        <w:t xml:space="preserve">Service Provider</w:t>
      </w:r>
    </w:p>
    <w:p>
      <w:pPr>
        <w:pStyle w:val="FirstParagraph"/>
      </w:pPr>
      <w:r>
        <w:t xml:space="preserve">Ms. Elena M. Reyes, CFA, CPA</w:t>
      </w:r>
    </w:p>
    <w:p>
      <w:pPr>
        <w:pStyle w:val="BodyText"/>
      </w:pPr>
      <w:r>
        <w:t xml:space="preserve">Senior Financial Analyst</w:t>
      </w:r>
    </w:p>
    <w:p>
      <w:pPr>
        <w:pStyle w:val="BodyText"/>
      </w:pPr>
      <w:r>
        <w:t xml:space="preserve">Meridian Financial Advisory Group</w:t>
      </w:r>
    </w:p>
    <w:p>
      <w:pPr>
        <w:pStyle w:val="BodyText"/>
      </w:pPr>
      <w:r>
        <w:t xml:space="preserve">Philippines Manila Office</w:t>
      </w:r>
    </w:p>
    <w:p>
      <w:pPr>
        <w:pStyle w:val="BodyText"/>
      </w:pPr>
      <w:r>
        <w:t xml:space="preserve">License No. PRC-FA-2018-00342</w:t>
      </w:r>
    </w:p>
    <w:p>
      <w:pPr>
        <w:pStyle w:val="BodyText"/>
      </w:pPr>
      <w:r>
        <w:t xml:space="preserve">Engagement Ref: PRH-2025-Q2-ANALYSIS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(PHP)</w:t>
            </w:r>
          </w:p>
        </w:tc>
        <w:tc>
          <w:tcPr/>
          <w:p>
            <w:pPr>
              <w:pStyle w:val="Compact"/>
              <w:jc w:val="left"/>
            </w:pPr>
            <w:r>
              <w:t xml:space="preserve">Hours</w:t>
            </w:r>
          </w:p>
        </w:tc>
        <w:tc>
          <w:tcPr/>
          <w:p>
            <w:pPr>
              <w:pStyle w:val="Compact"/>
              <w:jc w:val="left"/>
            </w:pPr>
            <w:r>
              <w:t xml:space="preserve">Amount (PHP)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Comprehensive Financial Statement Analysis and Ratio Evaluation for Q1 2025 reporting period, including balance sheet, income statement, and cash flow reconciliation for Pacific Rim Holdings Corporation.</w:t>
            </w:r>
          </w:p>
        </w:tc>
        <w:tc>
          <w:tcPr/>
          <w:p>
            <w:pPr>
              <w:pStyle w:val="Compact"/>
              <w:jc w:val="left"/>
            </w:pPr>
            <w:r>
              <w:t xml:space="preserve">4,500.00</w:t>
            </w:r>
          </w:p>
        </w:tc>
        <w:tc>
          <w:tcPr/>
          <w:p>
            <w:pPr>
              <w:pStyle w:val="Compact"/>
              <w:jc w:val="left"/>
            </w:pPr>
            <w:r>
              <w:t xml:space="preserve">32.0</w:t>
            </w:r>
          </w:p>
        </w:tc>
        <w:tc>
          <w:tcPr/>
          <w:p>
            <w:pPr>
              <w:pStyle w:val="Compact"/>
              <w:jc w:val="left"/>
            </w:pPr>
            <w:r>
              <w:t xml:space="preserve">144,000.00</w:t>
            </w:r>
          </w:p>
        </w:tc>
        <w:tc>
          <w:tcPr/>
          <w:p>
            <w:pPr>
              <w:pStyle w:val="Compact"/>
              <w:jc w:val="left"/>
            </w:pPr>
            <w:r>
              <w:t xml:space="preserve">Apr 1 – Apr 30, 2025</w:t>
            </w:r>
          </w:p>
        </w:tc>
      </w:tr>
      <w:tr>
        <w:tc>
          <w:tcPr/>
          <w:p>
            <w:pPr>
              <w:pStyle w:val="Compact"/>
              <w:jc w:val="left"/>
            </w:pPr>
            <w:r>
              <w:t xml:space="preserve">2</w:t>
            </w:r>
          </w:p>
        </w:tc>
        <w:tc>
          <w:tcPr/>
          <w:p>
            <w:pPr>
              <w:pStyle w:val="Compact"/>
              <w:jc w:val="left"/>
            </w:pPr>
            <w:r>
              <w:t xml:space="preserve">Preparation of detailed variance analysis reports comparing actual performance against budgeted figures, with narrative explanations for material deviations exceeding 5% threshold.</w:t>
            </w:r>
          </w:p>
        </w:tc>
        <w:tc>
          <w:tcPr/>
          <w:p>
            <w:pPr>
              <w:pStyle w:val="Compact"/>
              <w:jc w:val="left"/>
            </w:pPr>
            <w:r>
              <w:t xml:space="preserve">4,500.00</w:t>
            </w:r>
          </w:p>
        </w:tc>
        <w:tc>
          <w:tcPr/>
          <w:p>
            <w:pPr>
              <w:pStyle w:val="Compact"/>
              <w:jc w:val="left"/>
            </w:pPr>
            <w:r>
              <w:t xml:space="preserve">24.0</w:t>
            </w:r>
          </w:p>
        </w:tc>
        <w:tc>
          <w:tcPr/>
          <w:p>
            <w:pPr>
              <w:pStyle w:val="Compact"/>
              <w:jc w:val="left"/>
            </w:pPr>
            <w:r>
              <w:t xml:space="preserve">108,000.00</w:t>
            </w:r>
          </w:p>
        </w:tc>
        <w:tc>
          <w:tcPr/>
          <w:p>
            <w:pPr>
              <w:pStyle w:val="Compact"/>
              <w:jc w:val="left"/>
            </w:pPr>
            <w:r>
              <w:t xml:space="preserve">May 1 – May 15, 2025</w:t>
            </w:r>
          </w:p>
        </w:tc>
      </w:tr>
      <w:tr>
        <w:tc>
          <w:tcPr/>
          <w:p>
            <w:pPr>
              <w:pStyle w:val="Compact"/>
              <w:jc w:val="left"/>
            </w:pPr>
            <w:r>
              <w:t xml:space="preserve">3</w:t>
            </w:r>
          </w:p>
        </w:tc>
        <w:tc>
          <w:tcPr/>
          <w:p>
            <w:pPr>
              <w:pStyle w:val="Compact"/>
              <w:jc w:val="left"/>
            </w:pPr>
            <w:r>
              <w:t xml:space="preserve">Development of financial forecasting models and scenario planning for FY2025 projections, incorporating macroeconomic indicators relevant to the Philippines Manila business environment.</w:t>
            </w:r>
          </w:p>
        </w:tc>
        <w:tc>
          <w:tcPr/>
          <w:p>
            <w:pPr>
              <w:pStyle w:val="Compact"/>
              <w:jc w:val="left"/>
            </w:pPr>
            <w:r>
              <w:t xml:space="preserve">5,000.00</w:t>
            </w:r>
          </w:p>
        </w:tc>
        <w:tc>
          <w:tcPr/>
          <w:p>
            <w:pPr>
              <w:pStyle w:val="Compact"/>
              <w:jc w:val="left"/>
            </w:pPr>
            <w:r>
              <w:t xml:space="preserve">28.0</w:t>
            </w:r>
          </w:p>
        </w:tc>
        <w:tc>
          <w:tcPr/>
          <w:p>
            <w:pPr>
              <w:pStyle w:val="Compact"/>
              <w:jc w:val="left"/>
            </w:pPr>
            <w:r>
              <w:t xml:space="preserve">140,000.00</w:t>
            </w:r>
          </w:p>
        </w:tc>
        <w:tc>
          <w:tcPr/>
          <w:p>
            <w:pPr>
              <w:pStyle w:val="Compact"/>
              <w:jc w:val="left"/>
            </w:pPr>
            <w:r>
              <w:t xml:space="preserve">May 16 – Jun 5, 2025</w:t>
            </w:r>
          </w:p>
        </w:tc>
      </w:tr>
      <w:tr>
        <w:tc>
          <w:tcPr/>
          <w:p>
            <w:pPr>
              <w:pStyle w:val="Compact"/>
              <w:jc w:val="left"/>
            </w:pPr>
            <w:r>
              <w:t xml:space="preserve">4</w:t>
            </w:r>
          </w:p>
        </w:tc>
        <w:tc>
          <w:tcPr/>
          <w:p>
            <w:pPr>
              <w:pStyle w:val="Compact"/>
              <w:jc w:val="left"/>
            </w:pPr>
            <w:r>
              <w:t xml:space="preserve">Capital structure optimization review and debt-to-equity ratio assessment, including recommendations for refinancing opportunities available in the Philippines Manila capital markets.</w:t>
            </w:r>
          </w:p>
        </w:tc>
        <w:tc>
          <w:tcPr/>
          <w:p>
            <w:pPr>
              <w:pStyle w:val="Compact"/>
              <w:jc w:val="left"/>
            </w:pPr>
            <w:r>
              <w:t xml:space="preserve">5,000.00</w:t>
            </w:r>
          </w:p>
        </w:tc>
        <w:tc>
          <w:tcPr/>
          <w:p>
            <w:pPr>
              <w:pStyle w:val="Compact"/>
              <w:jc w:val="left"/>
            </w:pPr>
            <w:r>
              <w:t xml:space="preserve">16.0</w:t>
            </w:r>
          </w:p>
        </w:tc>
        <w:tc>
          <w:tcPr/>
          <w:p>
            <w:pPr>
              <w:pStyle w:val="Compact"/>
              <w:jc w:val="left"/>
            </w:pPr>
            <w:r>
              <w:t xml:space="preserve">80,000.00</w:t>
            </w:r>
          </w:p>
        </w:tc>
        <w:tc>
          <w:tcPr/>
          <w:p>
            <w:pPr>
              <w:pStyle w:val="Compact"/>
              <w:jc w:val="left"/>
            </w:pPr>
            <w:r>
              <w:t xml:space="preserve">Jun 6 – Jun 12, 2025</w:t>
            </w:r>
          </w:p>
        </w:tc>
      </w:tr>
      <w:tr>
        <w:tc>
          <w:tcPr/>
          <w:p>
            <w:pPr>
              <w:pStyle w:val="Compact"/>
              <w:jc w:val="left"/>
            </w:pPr>
            <w:r>
              <w:t xml:space="preserve">5</w:t>
            </w:r>
          </w:p>
        </w:tc>
        <w:tc>
          <w:tcPr/>
          <w:p>
            <w:pPr>
              <w:pStyle w:val="Compact"/>
              <w:jc w:val="left"/>
            </w:pPr>
            <w:r>
              <w:t xml:space="preserve">Preparation of board presentation materials and executive summary for the Q2 2025 Financial Analyst review meeting, including data visualization and key performance indicator dashboards.</w:t>
            </w:r>
          </w:p>
        </w:tc>
        <w:tc>
          <w:tcPr/>
          <w:p>
            <w:pPr>
              <w:pStyle w:val="Compact"/>
              <w:jc w:val="left"/>
            </w:pPr>
            <w:r>
              <w:t xml:space="preserve">4,000.00</w:t>
            </w:r>
          </w:p>
        </w:tc>
        <w:tc>
          <w:tcPr/>
          <w:p>
            <w:pPr>
              <w:pStyle w:val="Compact"/>
              <w:jc w:val="left"/>
            </w:pPr>
            <w:r>
              <w:t xml:space="preserve">12.0</w:t>
            </w:r>
          </w:p>
        </w:tc>
        <w:tc>
          <w:tcPr/>
          <w:p>
            <w:pPr>
              <w:pStyle w:val="Compact"/>
              <w:jc w:val="left"/>
            </w:pPr>
            <w:r>
              <w:t xml:space="preserve">48,000.00</w:t>
            </w:r>
          </w:p>
        </w:tc>
        <w:tc>
          <w:tcPr/>
          <w:p>
            <w:pPr>
              <w:pStyle w:val="Compact"/>
              <w:jc w:val="left"/>
            </w:pPr>
            <w:r>
              <w:t xml:space="preserve">Jun 13 – Jun 15,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520,000.00</w:t>
            </w:r>
          </w:p>
        </w:tc>
      </w:tr>
      <w:tr>
        <w:tc>
          <w:tcPr/>
          <w:p>
            <w:pPr>
              <w:pStyle w:val="Compact"/>
              <w:jc w:val="left"/>
            </w:pPr>
            <w:r>
              <w:t xml:space="preserve">VAT (12%)</w:t>
            </w:r>
          </w:p>
        </w:tc>
        <w:tc>
          <w:tcPr/>
          <w:p>
            <w:pPr>
              <w:pStyle w:val="Compact"/>
              <w:jc w:val="left"/>
            </w:pPr>
            <w:r>
              <w:t xml:space="preserve">PHP 62,400.00</w:t>
            </w:r>
          </w:p>
        </w:tc>
      </w:tr>
      <w:tr>
        <w:tc>
          <w:tcPr/>
          <w:p>
            <w:pPr>
              <w:pStyle w:val="Compact"/>
              <w:jc w:val="left"/>
            </w:pPr>
            <w:r>
              <w:t xml:space="preserve">Withholding Tax (10%)</w:t>
            </w:r>
          </w:p>
        </w:tc>
        <w:tc>
          <w:tcPr/>
          <w:p>
            <w:pPr>
              <w:pStyle w:val="Compact"/>
              <w:jc w:val="left"/>
            </w:pPr>
            <w:r>
              <w:t xml:space="preserve">(PHP 52,000.00)</w:t>
            </w:r>
          </w:p>
        </w:tc>
      </w:tr>
      <w:tr>
        <w:tc>
          <w:tcPr/>
          <w:p>
            <w:pPr>
              <w:pStyle w:val="Compact"/>
              <w:jc w:val="left"/>
            </w:pPr>
            <w:r>
              <w:t xml:space="preserve">Net Amount Due</w:t>
            </w:r>
          </w:p>
        </w:tc>
        <w:tc>
          <w:tcPr/>
          <w:p>
            <w:pPr>
              <w:pStyle w:val="Compact"/>
              <w:jc w:val="left"/>
            </w:pPr>
            <w:r>
              <w:t xml:space="preserve">PHP 530,400.00</w:t>
            </w:r>
          </w:p>
        </w:tc>
      </w:tr>
    </w:tbl>
    <w:bookmarkStart w:id="24" w:name="invoice-notes-and-terms"/>
    <w:p>
      <w:pPr>
        <w:pStyle w:val="Heading3"/>
      </w:pPr>
      <w:r>
        <w:t xml:space="preserve">Invoice Notes and Terms</w:t>
      </w:r>
    </w:p>
    <w:p>
      <w:pPr>
        <w:pStyle w:val="FirstParagraph"/>
      </w:pPr>
      <w:r>
        <w:t xml:space="preserve">This Invoice is issued by Meridian Financial Advisory Group, a registered professional services firm operating in Philippines Manila, in accordance with the engagement contract dated March 1, 2025, between the parties. The Financial Analyst services rendered under this Invoice cover the period from April 1, 2025, through June 15, 2025, and are subject to the terms and conditions outlined in the master service agreement.</w:t>
      </w:r>
    </w:p>
    <w:p>
      <w:pPr>
        <w:numPr>
          <w:ilvl w:val="0"/>
          <w:numId w:val="1001"/>
        </w:numPr>
        <w:pStyle w:val="Compact"/>
      </w:pPr>
      <w:r>
        <w:t xml:space="preserve">Payment is due within thirty (30) calendar days from the date of this Invoice, which is July 15, 2025. Late payments shall accrue interest at the rate of 1.5% per month as stipulated under Philippine Republic Act No. 8424.</w:t>
      </w:r>
    </w:p>
    <w:p>
      <w:pPr>
        <w:numPr>
          <w:ilvl w:val="0"/>
          <w:numId w:val="1001"/>
        </w:numPr>
        <w:pStyle w:val="Compact"/>
      </w:pPr>
      <w:r>
        <w:t xml:space="preserve">All amounts stated in this Invoice are in Philippine Pesos (PHP) and are subject to the 12% Value Added Tax (VAT) as mandated by the Bureau of Internal Revenue (BIR) of the Philippines.</w:t>
      </w:r>
    </w:p>
    <w:p>
      <w:pPr>
        <w:numPr>
          <w:ilvl w:val="0"/>
          <w:numId w:val="1001"/>
        </w:numPr>
        <w:pStyle w:val="Compact"/>
      </w:pPr>
      <w:r>
        <w:t xml:space="preserve">The 10% withholding tax has been deducted in accordance with Section 57 of the National Internal Revenue Code of the Philippines. An Official Receipt will be issued upon receipt of payment.</w:t>
      </w:r>
    </w:p>
    <w:p>
      <w:pPr>
        <w:numPr>
          <w:ilvl w:val="0"/>
          <w:numId w:val="1001"/>
        </w:numPr>
        <w:pStyle w:val="Compact"/>
      </w:pPr>
      <w:r>
        <w:t xml:space="preserve">This Invoice must be presented together with the corresponding Official Receipt (OR) and Certificate of Withholding Tax (CWIT) for proper accounting records.</w:t>
      </w:r>
    </w:p>
    <w:p>
      <w:pPr>
        <w:numPr>
          <w:ilvl w:val="0"/>
          <w:numId w:val="1001"/>
        </w:numPr>
        <w:pStyle w:val="Compact"/>
      </w:pPr>
      <w:r>
        <w:t xml:space="preserve">Any disputes regarding the services described in this Invoice must be raised in writing within fifteen (15) days of the Invoice date. Failure to do so shall constitute acceptance of the charges.</w:t>
      </w:r>
    </w:p>
    <w:p>
      <w:pPr>
        <w:numPr>
          <w:ilvl w:val="0"/>
          <w:numId w:val="1001"/>
        </w:numPr>
        <w:pStyle w:val="Compact"/>
      </w:pPr>
      <w:r>
        <w:t xml:space="preserve">The Financial Analyst engagement is governed by the professional standards of the Philippine Institute of Certified Public Accountants (PICPA) and the Code of Ethics for Professional Accountants.</w:t>
      </w:r>
    </w:p>
    <w:bookmarkEnd w:id="24"/>
    <w:bookmarkStart w:id="25" w:name="bank-payment-details"/>
    <w:p>
      <w:pPr>
        <w:pStyle w:val="Heading4"/>
      </w:pPr>
      <w:r>
        <w:t xml:space="preserve">Bank Payment Details</w:t>
      </w:r>
    </w:p>
    <w:p>
      <w:pPr>
        <w:pStyle w:val="FirstParagraph"/>
      </w:pPr>
      <w:r>
        <w:rPr>
          <w:bCs/>
          <w:b/>
        </w:rPr>
        <w:t xml:space="preserve">Bank:</w:t>
      </w:r>
      <w:r>
        <w:t xml:space="preserve"> </w:t>
      </w:r>
      <w:r>
        <w:t xml:space="preserve">BDO Unibank, Inc.</w:t>
      </w:r>
    </w:p>
    <w:p>
      <w:pPr>
        <w:pStyle w:val="BodyText"/>
      </w:pPr>
      <w:r>
        <w:rPr>
          <w:bCs/>
          <w:b/>
        </w:rPr>
        <w:t xml:space="preserve">Branch:</w:t>
      </w:r>
      <w:r>
        <w:t xml:space="preserve"> </w:t>
      </w:r>
      <w:r>
        <w:t xml:space="preserve">Ayala Center, Philippines Manila</w:t>
      </w:r>
    </w:p>
    <w:p>
      <w:pPr>
        <w:pStyle w:val="BodyText"/>
      </w:pPr>
      <w:r>
        <w:rPr>
          <w:bCs/>
          <w:b/>
        </w:rPr>
        <w:t xml:space="preserve">Account Name:</w:t>
      </w:r>
      <w:r>
        <w:t xml:space="preserve"> </w:t>
      </w:r>
      <w:r>
        <w:t xml:space="preserve">Meridian Financial Advisory Group</w:t>
      </w:r>
    </w:p>
    <w:p>
      <w:pPr>
        <w:pStyle w:val="BodyText"/>
      </w:pPr>
      <w:r>
        <w:rPr>
          <w:bCs/>
          <w:b/>
        </w:rPr>
        <w:t xml:space="preserve">Account No.:</w:t>
      </w:r>
      <w:r>
        <w:t xml:space="preserve"> </w:t>
      </w:r>
      <w:r>
        <w:t xml:space="preserve">001234567890</w:t>
      </w:r>
    </w:p>
    <w:p>
      <w:pPr>
        <w:pStyle w:val="BodyText"/>
      </w:pPr>
      <w:r>
        <w:rPr>
          <w:bCs/>
          <w:b/>
        </w:rPr>
        <w:t xml:space="preserve">SWIFT Code:</w:t>
      </w:r>
      <w:r>
        <w:t xml:space="preserve"> </w:t>
      </w:r>
      <w:r>
        <w:t xml:space="preserve">BDOUPHMM</w:t>
      </w:r>
    </w:p>
    <w:p>
      <w:pPr>
        <w:pStyle w:val="BodyText"/>
      </w:pPr>
      <w:r>
        <w:rPr>
          <w:bCs/>
          <w:b/>
        </w:rPr>
        <w:t xml:space="preserve">Reference:</w:t>
      </w:r>
      <w:r>
        <w:t xml:space="preserve"> </w:t>
      </w:r>
      <w:r>
        <w:t xml:space="preserve">MFA-2025-00487</w:t>
      </w:r>
    </w:p>
    <w:bookmarkEnd w:id="25"/>
    <w:bookmarkStart w:id="26" w:name="payment-reminders"/>
    <w:p>
      <w:pPr>
        <w:pStyle w:val="Heading4"/>
      </w:pPr>
      <w:r>
        <w:t xml:space="preserve">Payment Reminders</w:t>
      </w:r>
    </w:p>
    <w:p>
      <w:pPr>
        <w:pStyle w:val="FirstParagraph"/>
      </w:pPr>
      <w:r>
        <w:t xml:space="preserve">Please ensure that the Invoice number MFA-2025-00487 is included as a reference in all payment transactions. For wire transfers from overseas, please allow three (3) business days for processing. Contact our billing department at billing@meridianfa.com.ph for any clarification regarding this Invoice or the Financial Analyst services rendered.</w:t>
      </w:r>
    </w:p>
    <w:bookmarkEnd w:id="26"/>
    <w:p>
      <w:pPr>
        <w:pStyle w:val="BodyText"/>
      </w:pPr>
      <w:r>
        <w:rPr>
          <w:bCs/>
          <w:b/>
        </w:rPr>
        <w:t xml:space="preserve">Meridian Financial Advisory Group</w:t>
      </w:r>
      <w:r>
        <w:t xml:space="preserve"> </w:t>
      </w:r>
      <w:r>
        <w:t xml:space="preserve">| 12th Floor, Ayala Center Tower 3, 6811 Ayala Avenue, Makati City, Philippines Manila, 1226</w:t>
      </w:r>
    </w:p>
    <w:p>
      <w:pPr>
        <w:pStyle w:val="BodyText"/>
      </w:pPr>
      <w:r>
        <w:t xml:space="preserve">Registered with the Securities and Exchange Commission (SEC) of the Philippines | Reg. No. CS2018-045678</w:t>
      </w:r>
    </w:p>
    <w:p>
      <w:pPr>
        <w:pStyle w:val="BodyText"/>
      </w:pPr>
      <w:r>
        <w:t xml:space="preserve">This Invoice was generated electronically and is valid without a physical signature. For verification, contact our office in Philippines Manila during business hours (8:00 AM – 5:30 PM, Monday to Friday).</w:t>
      </w:r>
    </w:p>
    <w:p>
      <w:pPr>
        <w:pStyle w:val="BodyText"/>
      </w:pPr>
      <w:r>
        <w:t xml:space="preserve">© 2025 Meridian Financial Advisory Group. All rights reserved. This document constitutes a valid Invoice under Philippine tax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Philippines Manila</dc:title>
  <dc:creator/>
  <dc:language>en</dc:language>
  <cp:keywords/>
  <dcterms:created xsi:type="dcterms:W3CDTF">2026-10-10T06:41:14Z</dcterms:created>
  <dcterms:modified xsi:type="dcterms:W3CDTF">2026-10-10T06:41:14Z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