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meridian-capital-analytics-llc"/>
    <w:p>
      <w:pPr>
        <w:pStyle w:val="Heading1"/>
      </w:pPr>
      <w:r>
        <w:t xml:space="preserve">Meridian Capital Analytics LLC</w:t>
      </w:r>
    </w:p>
    <w:p>
      <w:pPr>
        <w:pStyle w:val="FirstParagraph"/>
      </w:pPr>
      <w:r>
        <w:t xml:space="preserve">12 Tverskaya Street, Building 7, Floor 14</w:t>
      </w:r>
    </w:p>
    <w:p>
      <w:pPr>
        <w:pStyle w:val="BodyText"/>
      </w:pPr>
      <w:r>
        <w:t xml:space="preserve">Moscow, 125009, Russian Federation</w:t>
      </w:r>
    </w:p>
    <w:p>
      <w:pPr>
        <w:pStyle w:val="BodyText"/>
      </w:pPr>
      <w:r>
        <w:t xml:space="preserve">Taxpayer Identification Number (INN): 7706458291</w:t>
      </w:r>
    </w:p>
    <w:p>
      <w:pPr>
        <w:pStyle w:val="BodyText"/>
      </w:pPr>
      <w:r>
        <w:t xml:space="preserve">Primary State Registration Number (OGRN): 1157746321098</w:t>
      </w:r>
    </w:p>
    <w:p>
      <w:pPr>
        <w:pStyle w:val="BodyText"/>
      </w:pPr>
      <w:r>
        <w:t xml:space="preserve">Phone: +7 (495) 784-2210 | Email: billing@meridiancapital.ru</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MCA-2025-00487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Currency:</w:t>
      </w:r>
      <w:r>
        <w:t xml:space="preserve"> </w:t>
      </w:r>
      <w:r>
        <w:t xml:space="preserve">Russian Ruble (RUB)</w:t>
      </w:r>
    </w:p>
    <w:p>
      <w:pPr>
        <w:pStyle w:val="BodyText"/>
      </w:pPr>
      <w:r>
        <w:t xml:space="preserve">Russia Moscow</w:t>
      </w:r>
    </w:p>
    <w:bookmarkEnd w:id="21"/>
    <w:bookmarkStart w:id="22" w:name="bill-from-service-provider"/>
    <w:p>
      <w:pPr>
        <w:pStyle w:val="Heading3"/>
      </w:pPr>
      <w:r>
        <w:t xml:space="preserve">Bill From (Service Provider)</w:t>
      </w:r>
    </w:p>
    <w:p>
      <w:pPr>
        <w:pStyle w:val="FirstParagraph"/>
      </w:pPr>
      <w:r>
        <w:rPr>
          <w:bCs/>
          <w:b/>
        </w:rPr>
        <w:t xml:space="preserve">Meridian Capital Analytics LLC</w:t>
      </w:r>
    </w:p>
    <w:p>
      <w:pPr>
        <w:pStyle w:val="BodyText"/>
      </w:pPr>
      <w:r>
        <w:t xml:space="preserve">12 Tverskaya Street, Building 7, Floor 14</w:t>
      </w:r>
    </w:p>
    <w:p>
      <w:pPr>
        <w:pStyle w:val="BodyText"/>
      </w:pPr>
      <w:r>
        <w:t xml:space="preserve">Moscow, 125009, Russian Federation</w:t>
      </w:r>
    </w:p>
    <w:p>
      <w:pPr>
        <w:pStyle w:val="BodyText"/>
      </w:pPr>
      <w:r>
        <w:t xml:space="preserve">INN: 7706458291 | KPP: 770601001</w:t>
      </w:r>
    </w:p>
    <w:p>
      <w:pPr>
        <w:pStyle w:val="BodyText"/>
      </w:pPr>
      <w:r>
        <w:t xml:space="preserve">Bank: Sberbank, Moscow Branch</w:t>
      </w:r>
    </w:p>
    <w:p>
      <w:pPr>
        <w:pStyle w:val="BodyText"/>
      </w:pPr>
      <w:r>
        <w:t xml:space="preserve">Account: 40702810400000012345</w:t>
      </w:r>
    </w:p>
    <w:p>
      <w:pPr>
        <w:pStyle w:val="BodyText"/>
      </w:pPr>
      <w:r>
        <w:t xml:space="preserve">BIC: 044525225</w:t>
      </w:r>
    </w:p>
    <w:bookmarkEnd w:id="22"/>
    <w:bookmarkStart w:id="23" w:name="bill-to-client"/>
    <w:p>
      <w:pPr>
        <w:pStyle w:val="Heading3"/>
      </w:pPr>
      <w:r>
        <w:t xml:space="preserve">Bill To (Client)</w:t>
      </w:r>
    </w:p>
    <w:p>
      <w:pPr>
        <w:pStyle w:val="FirstParagraph"/>
      </w:pPr>
      <w:r>
        <w:rPr>
          <w:bCs/>
          <w:b/>
        </w:rPr>
        <w:t xml:space="preserve">Volga Industrial Holdings JSC</w:t>
      </w:r>
    </w:p>
    <w:p>
      <w:pPr>
        <w:pStyle w:val="BodyText"/>
      </w:pPr>
      <w:r>
        <w:t xml:space="preserve">45 Leningradsky Prospekt, Office 2100</w:t>
      </w:r>
    </w:p>
    <w:p>
      <w:pPr>
        <w:pStyle w:val="BodyText"/>
      </w:pPr>
      <w:r>
        <w:t xml:space="preserve">Moscow, 125167, Russian Federation</w:t>
      </w:r>
    </w:p>
    <w:p>
      <w:pPr>
        <w:pStyle w:val="BodyText"/>
      </w:pPr>
      <w:r>
        <w:t xml:space="preserve">INN: 7714982356 | KPP: 771401001</w:t>
      </w:r>
    </w:p>
    <w:p>
      <w:pPr>
        <w:pStyle w:val="BodyText"/>
      </w:pPr>
      <w:r>
        <w:t xml:space="preserve">Attn: Mr. Dmitry Kovalenko, CFO</w:t>
      </w:r>
    </w:p>
    <w:p>
      <w:pPr>
        <w:pStyle w:val="BodyText"/>
      </w:pPr>
      <w:r>
        <w:t xml:space="preserve">Email: d.kovalenko@volgaholdings.ru</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Period</w:t>
            </w:r>
          </w:p>
        </w:tc>
        <w:tc>
          <w:tcPr/>
          <w:p>
            <w:pPr>
              <w:pStyle w:val="Compact"/>
              <w:jc w:val="left"/>
            </w:pPr>
            <w:r>
              <w:t xml:space="preserve">Rate (RUB)</w:t>
            </w:r>
          </w:p>
        </w:tc>
        <w:tc>
          <w:tcPr/>
          <w:p>
            <w:pPr>
              <w:pStyle w:val="Compact"/>
              <w:jc w:val="left"/>
            </w:pPr>
            <w:r>
              <w:t xml:space="preserve">Hours</w:t>
            </w:r>
          </w:p>
        </w:tc>
        <w:tc>
          <w:tcPr/>
          <w:p>
            <w:pPr>
              <w:pStyle w:val="Compact"/>
              <w:jc w:val="left"/>
            </w:pPr>
            <w:r>
              <w:t xml:space="preserve">Amount (RUB)</w:t>
            </w:r>
          </w:p>
        </w:tc>
      </w:tr>
      <w:tr>
        <w:tc>
          <w:tcPr/>
          <w:p>
            <w:pPr>
              <w:pStyle w:val="Compact"/>
              <w:jc w:val="left"/>
            </w:pPr>
            <w:r>
              <w:t xml:space="preserve">1</w:t>
            </w:r>
          </w:p>
        </w:tc>
        <w:tc>
          <w:tcPr/>
          <w:p>
            <w:pPr>
              <w:pStyle w:val="Compact"/>
              <w:jc w:val="left"/>
            </w:pPr>
            <w:r>
              <w:t xml:space="preserve">Senior Financial Analyst – Quarterly Financial Performance Review and Variance Analysis for Volga Industrial Holdings JSC, including preparation of detailed P&amp;L statements, balance sheet reconciliation, and cash flow forecasting for Q2 2025.</w:t>
            </w:r>
          </w:p>
        </w:tc>
        <w:tc>
          <w:tcPr/>
          <w:p>
            <w:pPr>
              <w:pStyle w:val="Compact"/>
              <w:jc w:val="left"/>
            </w:pPr>
            <w:r>
              <w:t xml:space="preserve">Apr – Jun 2025</w:t>
            </w:r>
          </w:p>
        </w:tc>
        <w:tc>
          <w:tcPr/>
          <w:p>
            <w:pPr>
              <w:pStyle w:val="Compact"/>
              <w:jc w:val="left"/>
            </w:pPr>
            <w:r>
              <w:t xml:space="preserve">4,500.00</w:t>
            </w:r>
          </w:p>
        </w:tc>
        <w:tc>
          <w:tcPr/>
          <w:p>
            <w:pPr>
              <w:pStyle w:val="Compact"/>
              <w:jc w:val="left"/>
            </w:pPr>
            <w:r>
              <w:t xml:space="preserve">120</w:t>
            </w:r>
          </w:p>
        </w:tc>
        <w:tc>
          <w:tcPr/>
          <w:p>
            <w:pPr>
              <w:pStyle w:val="Compact"/>
              <w:jc w:val="left"/>
            </w:pPr>
            <w:r>
              <w:t xml:space="preserve">540,000.00</w:t>
            </w:r>
          </w:p>
        </w:tc>
      </w:tr>
      <w:tr>
        <w:tc>
          <w:tcPr/>
          <w:p>
            <w:pPr>
              <w:pStyle w:val="Compact"/>
              <w:jc w:val="left"/>
            </w:pPr>
            <w:r>
              <w:t xml:space="preserve">2</w:t>
            </w:r>
          </w:p>
        </w:tc>
        <w:tc>
          <w:tcPr/>
          <w:p>
            <w:pPr>
              <w:pStyle w:val="Compact"/>
              <w:jc w:val="left"/>
            </w:pPr>
            <w:r>
              <w:t xml:space="preserve">Financial Analyst – Capital Expenditure (CapEx) Modeling and Investment Appraisal. Development of discounted cash flow (DCF) models, net present value (NPV) calculations, and internal rate of return (IRR) projections for three proposed manufacturing facility expansions in the Moscow Oblast region.</w:t>
            </w:r>
          </w:p>
        </w:tc>
        <w:tc>
          <w:tcPr/>
          <w:p>
            <w:pPr>
              <w:pStyle w:val="Compact"/>
              <w:jc w:val="left"/>
            </w:pPr>
            <w:r>
              <w:t xml:space="preserve">May – Jun 2025</w:t>
            </w:r>
          </w:p>
        </w:tc>
        <w:tc>
          <w:tcPr/>
          <w:p>
            <w:pPr>
              <w:pStyle w:val="Compact"/>
              <w:jc w:val="left"/>
            </w:pPr>
            <w:r>
              <w:t xml:space="preserve">4,500.00</w:t>
            </w:r>
          </w:p>
        </w:tc>
        <w:tc>
          <w:tcPr/>
          <w:p>
            <w:pPr>
              <w:pStyle w:val="Compact"/>
              <w:jc w:val="left"/>
            </w:pPr>
            <w:r>
              <w:t xml:space="preserve">80</w:t>
            </w:r>
          </w:p>
        </w:tc>
        <w:tc>
          <w:tcPr/>
          <w:p>
            <w:pPr>
              <w:pStyle w:val="Compact"/>
              <w:jc w:val="left"/>
            </w:pPr>
            <w:r>
              <w:t xml:space="preserve">360,000.00</w:t>
            </w:r>
          </w:p>
        </w:tc>
      </w:tr>
      <w:tr>
        <w:tc>
          <w:tcPr/>
          <w:p>
            <w:pPr>
              <w:pStyle w:val="Compact"/>
              <w:jc w:val="left"/>
            </w:pPr>
            <w:r>
              <w:t xml:space="preserve">3</w:t>
            </w:r>
          </w:p>
        </w:tc>
        <w:tc>
          <w:tcPr/>
          <w:p>
            <w:pPr>
              <w:pStyle w:val="Compact"/>
              <w:jc w:val="left"/>
            </w:pPr>
            <w:r>
              <w:t xml:space="preserve">Financial Analyst – Regulatory Compliance and Tax Advisory Support. Preparation of financial documentation in accordance with Russian Federal Tax Service (FTS) requirements, IFRS reconciliation, and support for the annual audit conducted by Big Four firm in Moscow.</w:t>
            </w:r>
          </w:p>
        </w:tc>
        <w:tc>
          <w:tcPr/>
          <w:p>
            <w:pPr>
              <w:pStyle w:val="Compact"/>
              <w:jc w:val="left"/>
            </w:pPr>
            <w:r>
              <w:t xml:space="preserve">Jun 2025</w:t>
            </w:r>
          </w:p>
        </w:tc>
        <w:tc>
          <w:tcPr/>
          <w:p>
            <w:pPr>
              <w:pStyle w:val="Compact"/>
              <w:jc w:val="left"/>
            </w:pPr>
            <w:r>
              <w:t xml:space="preserve">4,500.00</w:t>
            </w:r>
          </w:p>
        </w:tc>
        <w:tc>
          <w:tcPr/>
          <w:p>
            <w:pPr>
              <w:pStyle w:val="Compact"/>
              <w:jc w:val="left"/>
            </w:pPr>
            <w:r>
              <w:t xml:space="preserve">48</w:t>
            </w:r>
          </w:p>
        </w:tc>
        <w:tc>
          <w:tcPr/>
          <w:p>
            <w:pPr>
              <w:pStyle w:val="Compact"/>
              <w:jc w:val="left"/>
            </w:pPr>
            <w:r>
              <w:t xml:space="preserve">216,000.00</w:t>
            </w:r>
          </w:p>
        </w:tc>
      </w:tr>
      <w:tr>
        <w:tc>
          <w:tcPr/>
          <w:p>
            <w:pPr>
              <w:pStyle w:val="Compact"/>
              <w:jc w:val="left"/>
            </w:pPr>
            <w:r>
              <w:t xml:space="preserve">4</w:t>
            </w:r>
          </w:p>
        </w:tc>
        <w:tc>
          <w:tcPr/>
          <w:p>
            <w:pPr>
              <w:pStyle w:val="Compact"/>
              <w:jc w:val="left"/>
            </w:pPr>
            <w:r>
              <w:t xml:space="preserve">Financial Analyst – Market Intelligence and Competitive Benchmarking. Compilation of sector-specific financial ratios, peer group analysis, and strategic recommendations for the industrial manufacturing sector in Russia Moscow and the broader CIS market.</w:t>
            </w:r>
          </w:p>
        </w:tc>
        <w:tc>
          <w:tcPr/>
          <w:p>
            <w:pPr>
              <w:pStyle w:val="Compact"/>
              <w:jc w:val="left"/>
            </w:pPr>
            <w:r>
              <w:t xml:space="preserve">Jun 2025</w:t>
            </w:r>
          </w:p>
        </w:tc>
        <w:tc>
          <w:tcPr/>
          <w:p>
            <w:pPr>
              <w:pStyle w:val="Compact"/>
              <w:jc w:val="left"/>
            </w:pPr>
            <w:r>
              <w:t xml:space="preserve">4,500.00</w:t>
            </w:r>
          </w:p>
        </w:tc>
        <w:tc>
          <w:tcPr/>
          <w:p>
            <w:pPr>
              <w:pStyle w:val="Compact"/>
              <w:jc w:val="left"/>
            </w:pPr>
            <w:r>
              <w:t xml:space="preserve">32</w:t>
            </w:r>
          </w:p>
        </w:tc>
        <w:tc>
          <w:tcPr/>
          <w:p>
            <w:pPr>
              <w:pStyle w:val="Compact"/>
              <w:jc w:val="left"/>
            </w:pPr>
            <w:r>
              <w:t xml:space="preserve">144,000.00</w:t>
            </w:r>
          </w:p>
        </w:tc>
      </w:tr>
      <w:tr>
        <w:tc>
          <w:tcPr/>
          <w:p>
            <w:pPr>
              <w:pStyle w:val="Compact"/>
              <w:jc w:val="left"/>
            </w:pPr>
            <w:r>
              <w:t xml:space="preserve">5</w:t>
            </w:r>
          </w:p>
        </w:tc>
        <w:tc>
          <w:tcPr/>
          <w:p>
            <w:pPr>
              <w:pStyle w:val="Compact"/>
              <w:jc w:val="left"/>
            </w:pPr>
            <w:r>
              <w:t xml:space="preserve">Financial Analyst – Board Presentation and Executive Summary. Preparation of a comprehensive 40-page board-level financial report, including executive summary, key performance indicators (KPIs), risk assessment matrix, and forward-looking guidance for the H2 2025 fiscal period.</w:t>
            </w:r>
          </w:p>
        </w:tc>
        <w:tc>
          <w:tcPr/>
          <w:p>
            <w:pPr>
              <w:pStyle w:val="Compact"/>
              <w:jc w:val="left"/>
            </w:pPr>
            <w:r>
              <w:t xml:space="preserve">Jun 2025</w:t>
            </w:r>
          </w:p>
        </w:tc>
        <w:tc>
          <w:tcPr/>
          <w:p>
            <w:pPr>
              <w:pStyle w:val="Compact"/>
              <w:jc w:val="left"/>
            </w:pPr>
            <w:r>
              <w:t xml:space="preserve">4,500.00</w:t>
            </w:r>
          </w:p>
        </w:tc>
        <w:tc>
          <w:tcPr/>
          <w:p>
            <w:pPr>
              <w:pStyle w:val="Compact"/>
              <w:jc w:val="left"/>
            </w:pPr>
            <w:r>
              <w:t xml:space="preserve">24</w:t>
            </w:r>
          </w:p>
        </w:tc>
        <w:tc>
          <w:tcPr/>
          <w:p>
            <w:pPr>
              <w:pStyle w:val="Compact"/>
              <w:jc w:val="left"/>
            </w:pPr>
            <w:r>
              <w:t xml:space="preserve">108,000.00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(RUB)</w:t>
            </w:r>
          </w:p>
        </w:tc>
        <w:tc>
          <w:tcPr/>
          <w:p>
            <w:pPr>
              <w:pStyle w:val="Compact"/>
              <w:jc w:val="right"/>
            </w:pPr>
            <w:r>
              <w:t xml:space="preserve">1,368,000.00</w:t>
            </w:r>
          </w:p>
        </w:tc>
      </w:tr>
      <w:tr>
        <w:tc>
          <w:tcPr/>
          <w:p>
            <w:pPr>
              <w:pStyle w:val="Compact"/>
              <w:jc w:val="left"/>
            </w:pPr>
            <w:r>
              <w:t xml:space="preserve">VAT (20%) – Russian Federation</w:t>
            </w:r>
          </w:p>
        </w:tc>
        <w:tc>
          <w:tcPr/>
          <w:p>
            <w:pPr>
              <w:pStyle w:val="Compact"/>
              <w:jc w:val="right"/>
            </w:pPr>
            <w:r>
              <w:t xml:space="preserve">273,600.00</w:t>
            </w:r>
          </w:p>
        </w:tc>
      </w:tr>
      <w:tr>
        <w:tc>
          <w:tcPr/>
          <w:p>
            <w:pPr>
              <w:pStyle w:val="Compact"/>
              <w:jc w:val="left"/>
            </w:pPr>
            <w:r>
              <w:t xml:space="preserve">Discount – Long-term Client (5%)</w:t>
            </w:r>
          </w:p>
        </w:tc>
        <w:tc>
          <w:tcPr/>
          <w:p>
            <w:pPr>
              <w:pStyle w:val="Compact"/>
              <w:jc w:val="right"/>
            </w:pPr>
            <w:r>
              <w:t xml:space="preserve">-68,400.00</w:t>
            </w:r>
          </w:p>
        </w:tc>
      </w:tr>
      <w:tr>
        <w:tc>
          <w:tcPr/>
          <w:p>
            <w:pPr>
              <w:pStyle w:val="Compact"/>
              <w:jc w:val="left"/>
            </w:pPr>
            <w:r>
              <w:t xml:space="preserve">TOTAL AMOUNT DUE (RUB)</w:t>
            </w:r>
          </w:p>
        </w:tc>
        <w:tc>
          <w:tcPr/>
          <w:p>
            <w:pPr>
              <w:pStyle w:val="Compact"/>
              <w:jc w:val="right"/>
            </w:pPr>
            <w:r>
              <w:t xml:space="preserve">1,573,200.00</w:t>
            </w:r>
          </w:p>
        </w:tc>
      </w:tr>
    </w:tbl>
    <w:bookmarkStart w:id="24" w:name="payment-terms-and-instructions"/>
    <w:p>
      <w:pPr>
        <w:pStyle w:val="Heading3"/>
      </w:pPr>
      <w:r>
        <w:t xml:space="preserve">Payment Terms and Instructions</w:t>
      </w:r>
    </w:p>
    <w:p>
      <w:pPr>
        <w:pStyle w:val="FirstParagraph"/>
      </w:pPr>
      <w:r>
        <w:rPr>
          <w:bCs/>
          <w:b/>
        </w:rPr>
        <w:t xml:space="preserve">Payment Due:</w:t>
      </w:r>
      <w:r>
        <w:t xml:space="preserve"> </w:t>
      </w:r>
      <w:r>
        <w:t xml:space="preserve">Within 15 calendar days from the issue date of this Invoice, no later than 30 June 2025.</w:t>
      </w:r>
    </w:p>
    <w:p>
      <w:pPr>
        <w:pStyle w:val="BodyText"/>
      </w:pPr>
      <w:r>
        <w:rPr>
          <w:bCs/>
          <w:b/>
        </w:rPr>
        <w:t xml:space="preserve">Payment Method:</w:t>
      </w:r>
      <w:r>
        <w:t xml:space="preserve"> </w:t>
      </w:r>
      <w:r>
        <w:t xml:space="preserve">Bank wire transfer to the account specified above (Sberbank, Moscow Branch, BIC: 044525225).</w:t>
      </w:r>
    </w:p>
    <w:p>
      <w:pPr>
        <w:pStyle w:val="BodyText"/>
      </w:pPr>
      <w:r>
        <w:rPr>
          <w:bCs/>
          <w:b/>
        </w:rPr>
        <w:t xml:space="preserve">Reference:</w:t>
      </w:r>
      <w:r>
        <w:t xml:space="preserve"> </w:t>
      </w:r>
      <w:r>
        <w:t xml:space="preserve">Please cite Invoice No. MCA-2025-00487 in the payment reference field.</w:t>
      </w:r>
    </w:p>
    <w:p>
      <w:pPr>
        <w:pStyle w:val="BodyText"/>
      </w:pPr>
      <w:r>
        <w:rPr>
          <w:bCs/>
          <w:b/>
        </w:rPr>
        <w:t xml:space="preserve">Late Payment:</w:t>
      </w:r>
      <w:r>
        <w:t xml:space="preserve"> </w:t>
      </w:r>
      <w:r>
        <w:t xml:space="preserve">In accordance with Article 317.1 of the Civil Code of the Russian Federation, a penalty of 0.1% per calendar day of delay shall be applied to the outstanding balance. This Invoice is governed by the laws of the Russian Federation, and any disputes shall be resolved by the Arbitration Court of the City of Moscow.</w:t>
      </w:r>
    </w:p>
    <w:p>
      <w:pPr>
        <w:pStyle w:val="BodyText"/>
      </w:pPr>
      <w:r>
        <w:rPr>
          <w:bCs/>
          <w:b/>
        </w:rPr>
        <w:t xml:space="preserve">Reconciliation:</w:t>
      </w:r>
      <w:r>
        <w:t xml:space="preserve"> </w:t>
      </w:r>
      <w:r>
        <w:t xml:space="preserve">A detailed timesheet and work product log from the assigned Financial Analyst team will be provided upon request for full transparency and audit trail purposes.</w:t>
      </w:r>
    </w:p>
    <w:bookmarkEnd w:id="24"/>
    <w:bookmarkStart w:id="25" w:name="notes-and-additional-information"/>
    <w:p>
      <w:pPr>
        <w:pStyle w:val="Heading3"/>
      </w:pPr>
      <w:r>
        <w:t xml:space="preserve">Notes and Additional Information</w:t>
      </w:r>
    </w:p>
    <w:p>
      <w:pPr>
        <w:pStyle w:val="FirstParagraph"/>
      </w:pPr>
      <w:r>
        <w:t xml:space="preserve">This Invoice is issued by Meridian Capital Analytics LLC, a registered legal entity operating in Russia Moscow, in connection with the provision of specialized Financial Analyst services to Volga Industrial Holdings JSC. All services rendered were performed by certified Financial Analysts holding CFA (Chartered Financial Analyst) and ACCA (Association of Chartered Certified Accountants) designations, in full compliance with the professional standards established by the Russian Accounting Chamber and the International Federation of Accountants (IFAC).</w:t>
      </w:r>
    </w:p>
    <w:p>
      <w:pPr>
        <w:pStyle w:val="BodyText"/>
      </w:pPr>
      <w:r>
        <w:t xml:space="preserve">The Financial Analyst engagement covered a total of 304 professional hours across the billing period from April 2025 through June 2025. All deliverables, including financial models, analytical reports, and board presentations, have been delivered to the client's designated representative in Moscow and confirmed as received via written acknowledgment dated 12 June 2025.</w:t>
      </w:r>
    </w:p>
    <w:p>
      <w:pPr>
        <w:pStyle w:val="BodyText"/>
      </w:pPr>
      <w:r>
        <w:t xml:space="preserve">This Invoice constitutes a legally binding document under the Federal Law of the Russian Federation No. 402-FZ "On Accounting" and the applicable provisions of the Tax Code of the Russian Federation. The VAT amount stated herein is subject to the standard 20% rate applicable in the Russian Federation as of the date of issue. A corresponding Universal Transfer Document (UPD) will be issued simultaneously with this Invoice for the client's tax accounting records.</w:t>
      </w:r>
    </w:p>
    <w:p>
      <w:pPr>
        <w:pStyle w:val="BodyText"/>
      </w:pPr>
      <w:r>
        <w:t xml:space="preserve">Should you have any questions regarding this Invoice or the Financial Analyst services rendered, please contact our billing department in Moscow at +7 (495) 784-2210 or via email at billing@meridiancapital.ru. We appreciate your continued partnership and look forward to our ongoing collaboration in Russia Moscow.</w:t>
      </w:r>
    </w:p>
    <w:bookmarkEnd w:id="25"/>
    <w:p>
      <w:pPr>
        <w:pStyle w:val="BodyText"/>
      </w:pPr>
      <w:r>
        <w:rPr>
          <w:bCs/>
          <w:b/>
        </w:rPr>
        <w:t xml:space="preserve">Prepared by:</w:t>
      </w:r>
      <w:r>
        <w:br/>
      </w:r>
      <w:r>
        <w:t xml:space="preserve">Anna S. Petrova</w:t>
      </w:r>
      <w:r>
        <w:br/>
      </w:r>
      <w:r>
        <w:t xml:space="preserve">Lead Financial Analyst, CFA</w:t>
      </w:r>
      <w:r>
        <w:br/>
      </w:r>
      <w:r>
        <w:t xml:space="preserve">Meridian Capital Analytics LLC</w:t>
      </w:r>
    </w:p>
    <w:p>
      <w:pPr>
        <w:pStyle w:val="BodyText"/>
      </w:pPr>
      <w:r>
        <w:rPr>
          <w:bCs/>
          <w:b/>
        </w:rPr>
        <w:t xml:space="preserve">Authorized by:</w:t>
      </w:r>
      <w:r>
        <w:br/>
      </w:r>
      <w:r>
        <w:t xml:space="preserve">Igor M. Volkov</w:t>
      </w:r>
      <w:r>
        <w:br/>
      </w:r>
      <w:r>
        <w:t xml:space="preserve">Chief Executive Officer</w:t>
      </w:r>
      <w:r>
        <w:br/>
      </w:r>
      <w:r>
        <w:t xml:space="preserve">Meridian Capital Analytics LLC</w:t>
      </w:r>
    </w:p>
    <w:p>
      <w:pPr>
        <w:pStyle w:val="BodyText"/>
      </w:pPr>
      <w:r>
        <w:t xml:space="preserve">Meridian Capital Analytics LLC | INN: 7706458291 | OGRN: 1157746321098</w:t>
      </w:r>
    </w:p>
    <w:p>
      <w:pPr>
        <w:pStyle w:val="BodyText"/>
      </w:pPr>
      <w:r>
        <w:t xml:space="preserve">Registered Address: 12 Tverskaya Street, Building 7, Floor 14, Moscow, 125009, Russian Federation</w:t>
      </w:r>
    </w:p>
    <w:p>
      <w:pPr>
        <w:pStyle w:val="BodyText"/>
      </w:pPr>
      <w:r>
        <w:t xml:space="preserve">This Invoice was generated electronically and is valid without a physical signature in accordance with Federal Law No. 63-FZ "On Electronic Signature."</w:t>
      </w:r>
    </w:p>
    <w:p>
      <w:pPr>
        <w:pStyle w:val="BodyText"/>
      </w:pPr>
      <w:r>
        <w:t xml:space="preserve">Document Reference: MCA-2025-00487 | Generated: 15 June 2025 | Russia Moscow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Financial Analyst Services - Russia Moscow</dc:title>
  <dc:creator/>
  <dc:language>en</dc:language>
  <cp:keywords/>
  <dcterms:created xsi:type="dcterms:W3CDTF">2026-10-10T07:00:47Z</dcterms:created>
  <dcterms:modified xsi:type="dcterms:W3CDTF">2026-10-10T07:00:47Z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