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financial-consulting-group"/>
    <w:p>
      <w:pPr>
        <w:pStyle w:val="Heading1"/>
      </w:pPr>
      <w:r>
        <w:t xml:space="preserve">Al-Riyadh Financial Consulting Group</w:t>
      </w:r>
    </w:p>
    <w:p>
      <w:pPr>
        <w:pStyle w:val="FirstParagraph"/>
      </w:pPr>
      <w:r>
        <w:t xml:space="preserve">Office Tower 7, King Fahd Road, Al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Email: billing@alriyadhfcg.sa | Tel: +966 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ARFCG-2025-00472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FINANCIAL ANALYST SERVICES</w:t>
      </w:r>
    </w:p>
    <w:bookmarkEnd w:id="21"/>
    <w:bookmarkStart w:id="22" w:name="billed-to"/>
    <w:p>
      <w:pPr>
        <w:pStyle w:val="Heading3"/>
      </w:pPr>
      <w:r>
        <w:t xml:space="preserve">Billed To</w:t>
      </w:r>
    </w:p>
    <w:p>
      <w:pPr>
        <w:pStyle w:val="FirstParagraph"/>
      </w:pPr>
      <w:r>
        <w:rPr>
          <w:bCs/>
          <w:b/>
        </w:rPr>
        <w:t xml:space="preserve">Al-Nakheel Industrial Development Co.</w:t>
      </w:r>
    </w:p>
    <w:p>
      <w:pPr>
        <w:pStyle w:val="BodyText"/>
      </w:pPr>
      <w:r>
        <w:t xml:space="preserve">Attn: Mr. Khalid Al-Otaibi, Chief Financial Officer</w:t>
      </w:r>
    </w:p>
    <w:p>
      <w:pPr>
        <w:pStyle w:val="BodyText"/>
      </w:pPr>
      <w:r>
        <w:t xml:space="preserve">Building 14, Al Muruj Business District</w:t>
      </w:r>
    </w:p>
    <w:p>
      <w:pPr>
        <w:pStyle w:val="BodyText"/>
      </w:pPr>
      <w:r>
        <w:t xml:space="preserve">Riyadh, 13333, Saudi Arabia</w:t>
      </w:r>
    </w:p>
    <w:p>
      <w:pPr>
        <w:pStyle w:val="BodyText"/>
      </w:pPr>
      <w:r>
        <w:t xml:space="preserve">VAT No.: 310987654300003</w:t>
      </w:r>
    </w:p>
    <w:p>
      <w:pPr>
        <w:pStyle w:val="BodyText"/>
      </w:pPr>
      <w:r>
        <w:t xml:space="preserve">CR No.: 1010987654</w:t>
      </w:r>
    </w:p>
    <w:bookmarkEnd w:id="22"/>
    <w:bookmarkStart w:id="23" w:name="prepared-by"/>
    <w:p>
      <w:pPr>
        <w:pStyle w:val="Heading3"/>
      </w:pPr>
      <w:r>
        <w:t xml:space="preserve">Prepared By</w:t>
      </w:r>
    </w:p>
    <w:p>
      <w:pPr>
        <w:pStyle w:val="FirstParagraph"/>
      </w:pPr>
      <w:r>
        <w:rPr>
          <w:bCs/>
          <w:b/>
        </w:rPr>
        <w:t xml:space="preserve">Dr. Sarah Al-Harbi, CFA, CMA</w:t>
      </w:r>
    </w:p>
    <w:p>
      <w:pPr>
        <w:pStyle w:val="BodyText"/>
      </w:pPr>
      <w:r>
        <w:t xml:space="preserve">Senior Financial Analyst</w:t>
      </w:r>
    </w:p>
    <w:p>
      <w:pPr>
        <w:pStyle w:val="BodyText"/>
      </w:pPr>
      <w:r>
        <w:t xml:space="preserve">Al-Riyadh Financial Consulting Group</w:t>
      </w:r>
    </w:p>
    <w:p>
      <w:pPr>
        <w:pStyle w:val="BodyText"/>
      </w:pPr>
      <w:r>
        <w:t xml:space="preserve">Riyadh, Saudi Arabia</w:t>
      </w:r>
    </w:p>
    <w:p>
      <w:pPr>
        <w:pStyle w:val="BodyText"/>
      </w:pPr>
      <w:r>
        <w:t xml:space="preserve">Professional License: SAMA-FA-2024-0891</w:t>
      </w:r>
    </w:p>
    <w:p>
      <w:pPr>
        <w:pStyle w:val="BodyText"/>
      </w:pPr>
      <w:r>
        <w:t xml:space="preserve">Email: s.alharbi@alriyadhfcg.sa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(SAR)</w:t>
            </w:r>
          </w:p>
        </w:tc>
        <w:tc>
          <w:tcPr/>
          <w:p>
            <w:pPr>
              <w:pStyle w:val="Compact"/>
              <w:jc w:val="left"/>
            </w:pPr>
            <w:r>
              <w:t xml:space="preserve">Hours</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Financial Statement Analysis and Ratio Assessment for Q1 2025 operations in Saudi Arabia Riyadh market</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Preparation of Monthly Cash Flow Projections and Liquidity Risk Assessment for the Financial Analyst engagement</w:t>
            </w:r>
          </w:p>
        </w:tc>
        <w:tc>
          <w:tcPr/>
          <w:p>
            <w:pPr>
              <w:pStyle w:val="Compact"/>
              <w:jc w:val="left"/>
            </w:pPr>
            <w:r>
              <w:t xml:space="preserve">1,200.00</w:t>
            </w:r>
          </w:p>
        </w:tc>
        <w:tc>
          <w:tcPr/>
          <w:p>
            <w:pPr>
              <w:pStyle w:val="Compact"/>
              <w:jc w:val="left"/>
            </w:pPr>
            <w:r>
              <w:t xml:space="preserve">16</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Capital Expenditure (CapEx) Budgeting and Investment Appraisal for new manufacturing facility in Riyadh, Saudi Arabia</w:t>
            </w:r>
          </w:p>
        </w:tc>
        <w:tc>
          <w:tcPr/>
          <w:p>
            <w:pPr>
              <w:pStyle w:val="Compact"/>
              <w:jc w:val="left"/>
            </w:pPr>
            <w:r>
              <w:t xml:space="preserve">1,500.00</w:t>
            </w:r>
          </w:p>
        </w:tc>
        <w:tc>
          <w:tcPr/>
          <w:p>
            <w:pPr>
              <w:pStyle w:val="Compact"/>
              <w:jc w:val="left"/>
            </w:pPr>
            <w:r>
              <w:t xml:space="preserve">20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Regulatory Compliance Review aligned with Saudi Central Bank (SAMA) guidelines and ZATCA tax reporting requirements</w:t>
            </w:r>
          </w:p>
        </w:tc>
        <w:tc>
          <w:tcPr/>
          <w:p>
            <w:pPr>
              <w:pStyle w:val="Compact"/>
              <w:jc w:val="left"/>
            </w:pPr>
            <w:r>
              <w:t xml:space="preserve">1,400.00</w:t>
            </w:r>
          </w:p>
        </w:tc>
        <w:tc>
          <w:tcPr/>
          <w:p>
            <w:pPr>
              <w:pStyle w:val="Compact"/>
              <w:jc w:val="left"/>
            </w:pPr>
            <w:r>
              <w:t xml:space="preserve">12</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Development of Financial Dashboard and KPI Reporting Framework for executive leadership in Saudi Arabia Riyadh headquarters</w:t>
            </w:r>
          </w:p>
        </w:tc>
        <w:tc>
          <w:tcPr/>
          <w:p>
            <w:pPr>
              <w:pStyle w:val="Compact"/>
              <w:jc w:val="left"/>
            </w:pPr>
            <w:r>
              <w:t xml:space="preserve">1,300.00</w:t>
            </w:r>
          </w:p>
        </w:tc>
        <w:tc>
          <w:tcPr/>
          <w:p>
            <w:pPr>
              <w:pStyle w:val="Compact"/>
              <w:jc w:val="left"/>
            </w:pPr>
            <w:r>
              <w:t xml:space="preserve">18</w:t>
            </w:r>
          </w:p>
        </w:tc>
        <w:tc>
          <w:tcPr/>
          <w:p>
            <w:pPr>
              <w:pStyle w:val="Compact"/>
              <w:jc w:val="left"/>
            </w:pPr>
            <w:r>
              <w:t xml:space="preserve">23,400.00</w:t>
            </w:r>
          </w:p>
        </w:tc>
      </w:tr>
      <w:tr>
        <w:tc>
          <w:tcPr/>
          <w:p>
            <w:pPr>
              <w:pStyle w:val="Compact"/>
              <w:jc w:val="left"/>
            </w:pPr>
            <w:r>
              <w:t xml:space="preserve">6</w:t>
            </w:r>
          </w:p>
        </w:tc>
        <w:tc>
          <w:tcPr/>
          <w:p>
            <w:pPr>
              <w:pStyle w:val="Compact"/>
              <w:jc w:val="left"/>
            </w:pPr>
            <w:r>
              <w:t xml:space="preserve">Vendor and Accounts Payable Analysis with Cost Optimization Recommendations for the Financial Analyst advisory package</w:t>
            </w:r>
          </w:p>
        </w:tc>
        <w:tc>
          <w:tcPr/>
          <w:p>
            <w:pPr>
              <w:pStyle w:val="Compact"/>
              <w:jc w:val="left"/>
            </w:pPr>
            <w:r>
              <w:t xml:space="preserve">1,100.00</w:t>
            </w:r>
          </w:p>
        </w:tc>
        <w:tc>
          <w:tcPr/>
          <w:p>
            <w:pPr>
              <w:pStyle w:val="Compact"/>
              <w:jc w:val="left"/>
            </w:pPr>
            <w:r>
              <w:t xml:space="preserve">10</w:t>
            </w:r>
          </w:p>
        </w:tc>
        <w:tc>
          <w:tcPr/>
          <w:p>
            <w:pPr>
              <w:pStyle w:val="Compact"/>
              <w:jc w:val="left"/>
            </w:pPr>
            <w:r>
              <w:t xml:space="preserve">11,000.00</w:t>
            </w:r>
          </w:p>
        </w:tc>
      </w:tr>
      <w:tr>
        <w:tc>
          <w:tcPr/>
          <w:p>
            <w:pPr>
              <w:pStyle w:val="Compact"/>
              <w:jc w:val="left"/>
            </w:pPr>
            <w:r>
              <w:t xml:space="preserve">7</w:t>
            </w:r>
          </w:p>
        </w:tc>
        <w:tc>
          <w:tcPr/>
          <w:p>
            <w:pPr>
              <w:pStyle w:val="Compact"/>
              <w:jc w:val="left"/>
            </w:pPr>
            <w:r>
              <w:t xml:space="preserve">Annual Financial Audit Support and Internal Control Assessment for the fiscal year ending December 2025</w:t>
            </w:r>
          </w:p>
        </w:tc>
        <w:tc>
          <w:tcPr/>
          <w:p>
            <w:pPr>
              <w:pStyle w:val="Compact"/>
              <w:jc w:val="left"/>
            </w:pPr>
            <w:r>
              <w:t xml:space="preserve">1,600.00</w:t>
            </w:r>
          </w:p>
        </w:tc>
        <w:tc>
          <w:tcPr/>
          <w:p>
            <w:pPr>
              <w:pStyle w:val="Compact"/>
              <w:jc w:val="left"/>
            </w:pPr>
            <w:r>
              <w:t xml:space="preserve">14</w:t>
            </w:r>
          </w:p>
        </w:tc>
        <w:tc>
          <w:tcPr/>
          <w:p>
            <w:pPr>
              <w:pStyle w:val="Compact"/>
              <w:jc w:val="left"/>
            </w:pPr>
            <w:r>
              <w:t xml:space="preserve">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151,600.00</w:t>
            </w:r>
          </w:p>
        </w:tc>
      </w:tr>
      <w:tr>
        <w:tc>
          <w:tcPr/>
          <w:p>
            <w:pPr>
              <w:pStyle w:val="Compact"/>
              <w:jc w:val="left"/>
            </w:pPr>
            <w:r>
              <w:t xml:space="preserve">VAT @ 15% (SAR)</w:t>
            </w:r>
          </w:p>
        </w:tc>
        <w:tc>
          <w:tcPr/>
          <w:p>
            <w:pPr>
              <w:pStyle w:val="Compact"/>
              <w:jc w:val="left"/>
            </w:pPr>
            <w:r>
              <w:t xml:space="preserve">22,740.00</w:t>
            </w:r>
          </w:p>
        </w:tc>
      </w:tr>
      <w:tr>
        <w:tc>
          <w:tcPr/>
          <w:p>
            <w:pPr>
              <w:pStyle w:val="Compact"/>
              <w:jc w:val="left"/>
            </w:pPr>
            <w:r>
              <w:t xml:space="preserve">Discount – Early Payment (5%)</w:t>
            </w:r>
          </w:p>
        </w:tc>
        <w:tc>
          <w:tcPr/>
          <w:p>
            <w:pPr>
              <w:pStyle w:val="Compact"/>
              <w:jc w:val="left"/>
            </w:pPr>
            <w:r>
              <w:t xml:space="preserve">(7,580.00)</w:t>
            </w:r>
          </w:p>
        </w:tc>
      </w:tr>
      <w:tr>
        <w:tc>
          <w:tcPr/>
          <w:p>
            <w:pPr>
              <w:pStyle w:val="Compact"/>
              <w:jc w:val="left"/>
            </w:pPr>
            <w:r>
              <w:rPr>
                <w:bCs/>
                <w:b/>
              </w:rPr>
              <w:t xml:space="preserve">Total Amount Due (SAR)</w:t>
            </w:r>
          </w:p>
        </w:tc>
        <w:tc>
          <w:tcPr/>
          <w:p>
            <w:pPr>
              <w:pStyle w:val="Compact"/>
              <w:jc w:val="left"/>
            </w:pPr>
            <w:r>
              <w:rPr>
                <w:bCs/>
                <w:b/>
              </w:rPr>
              <w:t xml:space="preserve">166,760.00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Financial Consulting Group</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ARFCG-2025-00472</w:t>
      </w:r>
    </w:p>
    <w:p>
      <w:pPr>
        <w:pStyle w:val="BodyText"/>
      </w:pPr>
      <w:r>
        <w:rPr>
          <w:bCs/>
          <w:b/>
        </w:rPr>
        <w:t xml:space="preserve">Payment Method:</w:t>
      </w:r>
      <w:r>
        <w:t xml:space="preserve"> </w:t>
      </w:r>
      <w:r>
        <w:t xml:space="preserve">Bank Transfer / Wire Transfer</w:t>
      </w:r>
    </w:p>
    <w:bookmarkEnd w:id="24"/>
    <w:bookmarkStart w:id="25" w:name="invoice-notes"/>
    <w:p>
      <w:pPr>
        <w:pStyle w:val="Heading3"/>
      </w:pPr>
      <w:r>
        <w:t xml:space="preserve">Invoice Notes</w:t>
      </w:r>
    </w:p>
    <w:p>
      <w:pPr>
        <w:pStyle w:val="FirstParagraph"/>
      </w:pPr>
      <w:r>
        <w:t xml:space="preserve">This Invoice covers all Financial Analyst professional services rendered during the service period. All amounts are denominated in Saudi Riyal (SAR). The 15% Value Added Tax (VAT) is applied in accordance with the Zakat, Tax and Customs Authority (ZATCA) regulations in Saudi Arabia. Please reference the Invoice number on all correspondence and payments.</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is payable within thirty (30) calendar days from the Invoice date of 15 June 2025. Late payments shall incur a penalty of 1.5% per month as per Saudi commercial law.</w:t>
      </w:r>
    </w:p>
    <w:p>
      <w:pPr>
        <w:numPr>
          <w:ilvl w:val="0"/>
          <w:numId w:val="1001"/>
        </w:numPr>
        <w:pStyle w:val="Compact"/>
      </w:pPr>
      <w:r>
        <w:t xml:space="preserve">All Financial Analyst services described herein were performed in full compliance with the professional standards set by the Saudi Organization for Chartered and Professional Accountants (SOCPA) and applicable regulations in Saudi Arabia Riyadh.</w:t>
      </w:r>
    </w:p>
    <w:p>
      <w:pPr>
        <w:numPr>
          <w:ilvl w:val="0"/>
          <w:numId w:val="1001"/>
        </w:numPr>
        <w:pStyle w:val="Compact"/>
      </w:pPr>
      <w:r>
        <w:t xml:space="preserve">The Financial Analyst engagement is governed by the Master Service Agreement (MSA) dated 01 January 2025 between Al-Riyadh Financial Consulting Group and Al-Nakheel Industrial Development Co.</w:t>
      </w:r>
    </w:p>
    <w:p>
      <w:pPr>
        <w:numPr>
          <w:ilvl w:val="0"/>
          <w:numId w:val="1001"/>
        </w:numPr>
        <w:pStyle w:val="Compact"/>
      </w:pPr>
      <w:r>
        <w:t xml:space="preserve">Any disputes arising from this Invoice shall be resolved through the competent courts in Riyadh, Saudi Arabia, in accordance with the Saudi Commercial Courts Law.</w:t>
      </w:r>
    </w:p>
    <w:p>
      <w:pPr>
        <w:numPr>
          <w:ilvl w:val="0"/>
          <w:numId w:val="1001"/>
        </w:numPr>
        <w:pStyle w:val="Compact"/>
      </w:pPr>
      <w:r>
        <w:t xml:space="preserve">This Invoice is valid for one hundred and eighty (180) days from the date of issue. After this period, the Invoice may be subject to re-issuance and additional administrative fees.</w:t>
      </w:r>
    </w:p>
    <w:p>
      <w:pPr>
        <w:numPr>
          <w:ilvl w:val="0"/>
          <w:numId w:val="1001"/>
        </w:numPr>
        <w:pStyle w:val="Compact"/>
      </w:pPr>
      <w:r>
        <w:t xml:space="preserve">All deliverables, reports, and analyses produced by the Financial Analyst team remain the intellectual property of Al-Riyadh Financial Consulting Group until full payment of this Invoice is received.</w:t>
      </w:r>
    </w:p>
    <w:p>
      <w:pPr>
        <w:numPr>
          <w:ilvl w:val="0"/>
          <w:numId w:val="1001"/>
        </w:numPr>
        <w:pStyle w:val="Compact"/>
      </w:pPr>
      <w:r>
        <w:t xml:space="preserve">For VAT purposes, this Invoice has been issued in accordance with ZATCA e-invoicing requirements. The recipient is entitled to claim input VAT credit subject to ZATCA regulations.</w:t>
      </w:r>
    </w:p>
    <w:bookmarkEnd w:id="26"/>
    <w:p>
      <w:pPr>
        <w:pStyle w:val="FirstParagraph"/>
      </w:pPr>
      <w:r>
        <w:rPr>
          <w:bCs/>
          <w:b/>
        </w:rPr>
        <w:t xml:space="preserve">Al-Riyadh Financial Consulting Group</w:t>
      </w:r>
      <w:r>
        <w:t xml:space="preserve"> </w:t>
      </w:r>
      <w:r>
        <w:t xml:space="preserve">| Office Tower 7, King Fahd Road, Al Olaya District, Riyadh 12212, Saudi Arabia</w:t>
      </w:r>
    </w:p>
    <w:p>
      <w:pPr>
        <w:pStyle w:val="BodyText"/>
      </w:pPr>
      <w:r>
        <w:t xml:space="preserve">This Invoice was generated electronically and is valid without a physical signature. For verification, contact billing@alriyadhfcg.sa or +966 11 456 7890.</w:t>
      </w:r>
    </w:p>
    <w:p>
      <w:pPr>
        <w:pStyle w:val="BodyText"/>
      </w:pPr>
      <w:r>
        <w:t xml:space="preserve">Thank you for your business. We value our partnership and look forward to continuing to provide exceptional Financial Analyst services in Saudi Arabia Riyadh and beyond.</w:t>
      </w:r>
    </w:p>
    <w:p>
      <w:pPr>
        <w:pStyle w:val="BodyText"/>
      </w:pPr>
      <w:r>
        <w:t xml:space="preserve">© 2025 Al-Riyadh Financial Consulting Group. All Rights Reserved. | CR: 1010456789 | VAT: 310123456700003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Saudi Arabia Riyadh</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