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senegal-financial-consulting-group"/>
    <w:p>
      <w:pPr>
        <w:pStyle w:val="Heading1"/>
      </w:pPr>
      <w:r>
        <w:t xml:space="preserve">Senegal Financial Consulting Group</w:t>
      </w:r>
    </w:p>
    <w:p>
      <w:pPr>
        <w:pStyle w:val="FirstParagraph"/>
      </w:pPr>
      <w:r>
        <w:t xml:space="preserve">12 Boulevard de la République, Plateau</w:t>
      </w:r>
    </w:p>
    <w:p>
      <w:pPr>
        <w:pStyle w:val="BodyText"/>
      </w:pPr>
      <w:r>
        <w:t xml:space="preserve">Dakar, Senegal 10000</w:t>
      </w:r>
    </w:p>
    <w:p>
      <w:pPr>
        <w:pStyle w:val="BodyText"/>
      </w:pPr>
      <w:r>
        <w:t xml:space="preserve">Tel: +221 33 820 45 67</w:t>
      </w:r>
    </w:p>
    <w:p>
      <w:pPr>
        <w:pStyle w:val="BodyText"/>
      </w:pPr>
      <w:r>
        <w:t xml:space="preserve">Email: billing@sfcg-senegal.sn</w:t>
      </w:r>
    </w:p>
    <w:p>
      <w:pPr>
        <w:pStyle w:val="BodyText"/>
      </w:pPr>
      <w:r>
        <w:t xml:space="preserve">RC: SN-DKR-2019-004521 | NIF: 004521000012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SFCG-2025-00847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Société Africaine de Développement Économique (SADE)</w:t>
      </w:r>
    </w:p>
    <w:p>
      <w:pPr>
        <w:pStyle w:val="BodyText"/>
      </w:pPr>
      <w:r>
        <w:rPr>
          <w:bCs/>
          <w:b/>
        </w:rPr>
        <w:t xml:space="preserve">Attn:</w:t>
      </w:r>
      <w:r>
        <w:t xml:space="preserve"> </w:t>
      </w:r>
      <w:r>
        <w:t xml:space="preserve">Mr. Ousmane Diop, Chief Executive Officer</w:t>
      </w:r>
    </w:p>
    <w:p>
      <w:pPr>
        <w:pStyle w:val="BodyText"/>
      </w:pPr>
      <w:r>
        <w:rPr>
          <w:bCs/>
          <w:b/>
        </w:rPr>
        <w:t xml:space="preserve">Address:</w:t>
      </w:r>
      <w:r>
        <w:t xml:space="preserve"> </w:t>
      </w:r>
      <w:r>
        <w:t xml:space="preserve">45 Avenue Cheikh Anta Diop, Almadies</w:t>
      </w:r>
    </w:p>
    <w:p>
      <w:pPr>
        <w:pStyle w:val="BodyText"/>
      </w:pPr>
      <w:r>
        <w:t xml:space="preserve">Dakar, Senegal 16000</w:t>
      </w:r>
    </w:p>
    <w:p>
      <w:pPr>
        <w:pStyle w:val="BodyText"/>
      </w:pPr>
      <w:r>
        <w:rPr>
          <w:bCs/>
          <w:b/>
        </w:rPr>
        <w:t xml:space="preserve">Tel:</w:t>
      </w:r>
      <w:r>
        <w:t xml:space="preserve"> </w:t>
      </w:r>
      <w:r>
        <w:t xml:space="preserve">+221 33 865 12 34</w:t>
      </w:r>
    </w:p>
    <w:p>
      <w:pPr>
        <w:pStyle w:val="BodyText"/>
      </w:pPr>
      <w:r>
        <w:rPr>
          <w:bCs/>
          <w:b/>
        </w:rPr>
        <w:t xml:space="preserve">Email:</w:t>
      </w:r>
      <w:r>
        <w:t xml:space="preserve"> </w:t>
      </w:r>
      <w:r>
        <w:t xml:space="preserve">finance@sade-senegal.sn</w:t>
      </w:r>
    </w:p>
    <w:p>
      <w:pPr>
        <w:pStyle w:val="BodyText"/>
      </w:pPr>
      <w:r>
        <w:rPr>
          <w:bCs/>
          <w:b/>
        </w:rPr>
        <w:t xml:space="preserve">NIF:</w:t>
      </w:r>
      <w:r>
        <w:t xml:space="preserve"> </w:t>
      </w:r>
      <w:r>
        <w:t xml:space="preserve">007823000045</w:t>
      </w:r>
    </w:p>
    <w:bookmarkEnd w:id="22"/>
    <w:bookmarkStart w:id="23" w:name="prepared-by"/>
    <w:p>
      <w:pPr>
        <w:pStyle w:val="Heading3"/>
      </w:pPr>
      <w:r>
        <w:t xml:space="preserve">Prepared By</w:t>
      </w:r>
    </w:p>
    <w:p>
      <w:pPr>
        <w:pStyle w:val="FirstParagraph"/>
      </w:pPr>
      <w:r>
        <w:rPr>
          <w:bCs/>
          <w:b/>
        </w:rPr>
        <w:t xml:space="preserve">Financial Analyst:</w:t>
      </w:r>
      <w:r>
        <w:t xml:space="preserve"> </w:t>
      </w:r>
      <w:r>
        <w:t xml:space="preserve">Dr. Aïssatou Ndiaye</w:t>
      </w:r>
    </w:p>
    <w:p>
      <w:pPr>
        <w:pStyle w:val="BodyText"/>
      </w:pPr>
      <w:r>
        <w:rPr>
          <w:bCs/>
          <w:b/>
        </w:rPr>
        <w:t xml:space="preserve">Professional License:</w:t>
      </w:r>
      <w:r>
        <w:t xml:space="preserve"> </w:t>
      </w:r>
      <w:r>
        <w:t xml:space="preserve">CFA Charterholder #SN-2021-0387</w:t>
      </w:r>
    </w:p>
    <w:p>
      <w:pPr>
        <w:pStyle w:val="BodyText"/>
      </w:pPr>
      <w:r>
        <w:rPr>
          <w:bCs/>
          <w:b/>
        </w:rPr>
        <w:t xml:space="preserve">Department:</w:t>
      </w:r>
      <w:r>
        <w:t xml:space="preserve"> </w:t>
      </w:r>
      <w:r>
        <w:t xml:space="preserve">Corporate Finance &amp; Risk Advisory</w:t>
      </w:r>
    </w:p>
    <w:p>
      <w:pPr>
        <w:pStyle w:val="BodyText"/>
      </w:pPr>
      <w:r>
        <w:rPr>
          <w:bCs/>
          <w:b/>
        </w:rPr>
        <w:t xml:space="preserve">Direct Line:</w:t>
      </w:r>
      <w:r>
        <w:t xml:space="preserve"> </w:t>
      </w:r>
      <w:r>
        <w:t xml:space="preserve">+221 77 456 89 01</w:t>
      </w:r>
    </w:p>
    <w:p>
      <w:pPr>
        <w:pStyle w:val="BodyText"/>
      </w:pPr>
      <w:r>
        <w:rPr>
          <w:bCs/>
          <w:b/>
        </w:rPr>
        <w:t xml:space="preserve">Email:</w:t>
      </w:r>
      <w:r>
        <w:t xml:space="preserve"> </w:t>
      </w:r>
      <w:r>
        <w:t xml:space="preserve">a.ndiaye@sfcg-senegal.sn</w:t>
      </w:r>
    </w:p>
    <w:p>
      <w:pPr>
        <w:pStyle w:val="BodyText"/>
      </w:pPr>
      <w:r>
        <w:rPr>
          <w:bCs/>
          <w:b/>
        </w:rPr>
        <w:t xml:space="preserve">Supervisor:</w:t>
      </w:r>
      <w:r>
        <w:t xml:space="preserve"> </w:t>
      </w:r>
      <w:r>
        <w:t xml:space="preserve">Mr. Mamadou Fall, Managing Director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(XOF)</w:t>
            </w:r>
          </w:p>
        </w:tc>
        <w:tc>
          <w:tcPr/>
          <w:p>
            <w:pPr>
              <w:pStyle w:val="Compact"/>
              <w:jc w:val="left"/>
            </w:pPr>
            <w:r>
              <w:t xml:space="preserve">Hours</w:t>
            </w:r>
          </w:p>
        </w:tc>
        <w:tc>
          <w:tcPr/>
          <w:p>
            <w:pPr>
              <w:pStyle w:val="Compact"/>
              <w:jc w:val="left"/>
            </w:pPr>
            <w:r>
              <w:t xml:space="preserve">Subtotal (XOF)</w:t>
            </w:r>
          </w:p>
        </w:tc>
        <w:tc>
          <w:tcPr/>
          <w:p>
            <w:pPr>
              <w:pStyle w:val="Compact"/>
              <w:jc w:val="left"/>
            </w:pPr>
            <w:r>
              <w:t xml:space="preserve">Deliverable</w:t>
            </w:r>
          </w:p>
        </w:tc>
      </w:tr>
      <w:tr>
        <w:tc>
          <w:tcPr/>
          <w:p>
            <w:pPr>
              <w:pStyle w:val="Compact"/>
              <w:jc w:val="left"/>
            </w:pPr>
            <w:r>
              <w:t xml:space="preserve">01</w:t>
            </w:r>
          </w:p>
        </w:tc>
        <w:tc>
          <w:tcPr/>
          <w:p>
            <w:pPr>
              <w:pStyle w:val="Compact"/>
              <w:jc w:val="left"/>
            </w:pPr>
            <w:r>
              <w:t xml:space="preserve">Comprehensive financial modeling and forecasting analysis for Q2 2025 operations in the Senegal Dakar metropolitan region, including revenue projections, cost structure optimization, and cash flow modeling.</w:t>
            </w:r>
          </w:p>
        </w:tc>
        <w:tc>
          <w:tcPr/>
          <w:p>
            <w:pPr>
              <w:pStyle w:val="Compact"/>
              <w:jc w:val="left"/>
            </w:pPr>
            <w:r>
              <w:t xml:space="preserve">75,000</w:t>
            </w:r>
          </w:p>
        </w:tc>
        <w:tc>
          <w:tcPr/>
          <w:p>
            <w:pPr>
              <w:pStyle w:val="Compact"/>
              <w:jc w:val="left"/>
            </w:pPr>
            <w:r>
              <w:t xml:space="preserve">24</w:t>
            </w:r>
          </w:p>
        </w:tc>
        <w:tc>
          <w:tcPr/>
          <w:p>
            <w:pPr>
              <w:pStyle w:val="Compact"/>
              <w:jc w:val="left"/>
            </w:pPr>
            <w:r>
              <w:t xml:space="preserve">1,800,000</w:t>
            </w:r>
          </w:p>
        </w:tc>
        <w:tc>
          <w:tcPr/>
          <w:p>
            <w:pPr>
              <w:pStyle w:val="Compact"/>
              <w:jc w:val="left"/>
            </w:pPr>
            <w:r>
              <w:t xml:space="preserve">Excel Model &amp; Report</w:t>
            </w:r>
          </w:p>
        </w:tc>
      </w:tr>
      <w:tr>
        <w:tc>
          <w:tcPr/>
          <w:p>
            <w:pPr>
              <w:pStyle w:val="Compact"/>
              <w:jc w:val="left"/>
            </w:pPr>
            <w:r>
              <w:t xml:space="preserve">02</w:t>
            </w:r>
          </w:p>
        </w:tc>
        <w:tc>
          <w:tcPr/>
          <w:p>
            <w:pPr>
              <w:pStyle w:val="Compact"/>
              <w:jc w:val="left"/>
            </w:pPr>
            <w:r>
              <w:t xml:space="preserve">Risk assessment and variance analysis for the Financial Analyst engagement covering market volatility in West African currency exchanges (XOF/USD, XOF/EUR) and their impact on SADE's portfolio holdings.</w:t>
            </w:r>
          </w:p>
        </w:tc>
        <w:tc>
          <w:tcPr/>
          <w:p>
            <w:pPr>
              <w:pStyle w:val="Compact"/>
              <w:jc w:val="left"/>
            </w:pPr>
            <w:r>
              <w:t xml:space="preserve">85,000</w:t>
            </w:r>
          </w:p>
        </w:tc>
        <w:tc>
          <w:tcPr/>
          <w:p>
            <w:pPr>
              <w:pStyle w:val="Compact"/>
              <w:jc w:val="left"/>
            </w:pPr>
            <w:r>
              <w:t xml:space="preserve">16</w:t>
            </w:r>
          </w:p>
        </w:tc>
        <w:tc>
          <w:tcPr/>
          <w:p>
            <w:pPr>
              <w:pStyle w:val="Compact"/>
              <w:jc w:val="left"/>
            </w:pPr>
            <w:r>
              <w:t xml:space="preserve">1,360,000</w:t>
            </w:r>
          </w:p>
        </w:tc>
        <w:tc>
          <w:tcPr/>
          <w:p>
            <w:pPr>
              <w:pStyle w:val="Compact"/>
              <w:jc w:val="left"/>
            </w:pPr>
            <w:r>
              <w:t xml:space="preserve">Risk Assessment Memo</w:t>
            </w:r>
          </w:p>
        </w:tc>
      </w:tr>
      <w:tr>
        <w:tc>
          <w:tcPr/>
          <w:p>
            <w:pPr>
              <w:pStyle w:val="Compact"/>
              <w:jc w:val="left"/>
            </w:pPr>
            <w:r>
              <w:t xml:space="preserve">03</w:t>
            </w:r>
          </w:p>
        </w:tc>
        <w:tc>
          <w:tcPr/>
          <w:p>
            <w:pPr>
              <w:pStyle w:val="Compact"/>
              <w:jc w:val="left"/>
            </w:pPr>
            <w:r>
              <w:t xml:space="preserve">Preparation of board-level financial presentation and strategic advisory briefing for the SADE Board of Directors meeting held in Dakar, Senegal, including peer benchmarking against regional competitors.</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1,140,000</w:t>
            </w:r>
          </w:p>
        </w:tc>
        <w:tc>
          <w:tcPr/>
          <w:p>
            <w:pPr>
              <w:pStyle w:val="Compact"/>
              <w:jc w:val="left"/>
            </w:pPr>
            <w:r>
              <w:t xml:space="preserve">Board Deck (PDF/PPT)</w:t>
            </w:r>
          </w:p>
        </w:tc>
      </w:tr>
      <w:tr>
        <w:tc>
          <w:tcPr/>
          <w:p>
            <w:pPr>
              <w:pStyle w:val="Compact"/>
              <w:jc w:val="left"/>
            </w:pPr>
            <w:r>
              <w:t xml:space="preserve">04</w:t>
            </w:r>
          </w:p>
        </w:tc>
        <w:tc>
          <w:tcPr/>
          <w:p>
            <w:pPr>
              <w:pStyle w:val="Compact"/>
              <w:jc w:val="left"/>
            </w:pPr>
            <w:r>
              <w:t xml:space="preserve">Regulatory compliance review and tax optimization strategy aligned with the Senegalese tax code (Code Général des Impôts) and BCEAO monetary policy directives applicable to the Financial Analyst's ongoing advisory mandate.</w:t>
            </w:r>
          </w:p>
        </w:tc>
        <w:tc>
          <w:tcPr/>
          <w:p>
            <w:pPr>
              <w:pStyle w:val="Compact"/>
              <w:jc w:val="left"/>
            </w:pPr>
            <w:r>
              <w:t xml:space="preserve">80,000</w:t>
            </w:r>
          </w:p>
        </w:tc>
        <w:tc>
          <w:tcPr/>
          <w:p>
            <w:pPr>
              <w:pStyle w:val="Compact"/>
              <w:jc w:val="left"/>
            </w:pPr>
            <w:r>
              <w:t xml:space="preserve">10</w:t>
            </w:r>
          </w:p>
        </w:tc>
        <w:tc>
          <w:tcPr/>
          <w:p>
            <w:pPr>
              <w:pStyle w:val="Compact"/>
              <w:jc w:val="left"/>
            </w:pPr>
            <w:r>
              <w:t xml:space="preserve">800,000</w:t>
            </w:r>
          </w:p>
        </w:tc>
        <w:tc>
          <w:tcPr/>
          <w:p>
            <w:pPr>
              <w:pStyle w:val="Compact"/>
              <w:jc w:val="left"/>
            </w:pPr>
            <w:r>
              <w:t xml:space="preserve">Compliance Report</w:t>
            </w:r>
          </w:p>
        </w:tc>
      </w:tr>
      <w:tr>
        <w:tc>
          <w:tcPr/>
          <w:p>
            <w:pPr>
              <w:pStyle w:val="Compact"/>
              <w:jc w:val="left"/>
            </w:pPr>
            <w:r>
              <w:t xml:space="preserve">05</w:t>
            </w:r>
          </w:p>
        </w:tc>
        <w:tc>
          <w:tcPr/>
          <w:p>
            <w:pPr>
              <w:pStyle w:val="Compact"/>
              <w:jc w:val="left"/>
            </w:pPr>
            <w:r>
              <w:t xml:space="preserve">On-site consultation and stakeholder workshops conducted at the SADE headquarters in Senegal Dakar, facilitating data collection, assumption validation, and iterative model refinement with the internal finance team.</w:t>
            </w:r>
          </w:p>
        </w:tc>
        <w:tc>
          <w:tcPr/>
          <w:p>
            <w:pPr>
              <w:pStyle w:val="Compact"/>
              <w:jc w:val="left"/>
            </w:pPr>
            <w:r>
              <w:t xml:space="preserve">65,000</w:t>
            </w:r>
          </w:p>
        </w:tc>
        <w:tc>
          <w:tcPr/>
          <w:p>
            <w:pPr>
              <w:pStyle w:val="Compact"/>
              <w:jc w:val="left"/>
            </w:pPr>
            <w:r>
              <w:t xml:space="preserve">8</w:t>
            </w:r>
          </w:p>
        </w:tc>
        <w:tc>
          <w:tcPr/>
          <w:p>
            <w:pPr>
              <w:pStyle w:val="Compact"/>
              <w:jc w:val="left"/>
            </w:pPr>
            <w:r>
              <w:t xml:space="preserve">520,000</w:t>
            </w:r>
          </w:p>
        </w:tc>
        <w:tc>
          <w:tcPr/>
          <w:p>
            <w:pPr>
              <w:pStyle w:val="Compact"/>
              <w:jc w:val="left"/>
            </w:pPr>
            <w:r>
              <w:t xml:space="preserve">Workshop Minutes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5,620,000 XOF</w:t>
            </w:r>
          </w:p>
        </w:tc>
      </w:tr>
      <w:tr>
        <w:tc>
          <w:tcPr/>
          <w:p>
            <w:pPr>
              <w:pStyle w:val="Compact"/>
              <w:jc w:val="left"/>
            </w:pPr>
            <w:r>
              <w:t xml:space="preserve">Discount (Early Payment – 3%)</w:t>
            </w:r>
          </w:p>
        </w:tc>
        <w:tc>
          <w:tcPr/>
          <w:p>
            <w:pPr>
              <w:pStyle w:val="Compact"/>
              <w:jc w:val="left"/>
            </w:pPr>
            <w:r>
              <w:t xml:space="preserve">-168,600 XOF</w:t>
            </w:r>
          </w:p>
        </w:tc>
      </w:tr>
      <w:tr>
        <w:tc>
          <w:tcPr/>
          <w:p>
            <w:pPr>
              <w:pStyle w:val="Compact"/>
              <w:jc w:val="left"/>
            </w:pPr>
            <w:r>
              <w:t xml:space="preserve">Net Subtotal</w:t>
            </w:r>
          </w:p>
        </w:tc>
        <w:tc>
          <w:tcPr/>
          <w:p>
            <w:pPr>
              <w:pStyle w:val="Compact"/>
              <w:jc w:val="left"/>
            </w:pPr>
            <w:r>
              <w:t xml:space="preserve">5,451,400 XOF</w:t>
            </w:r>
          </w:p>
        </w:tc>
      </w:tr>
      <w:tr>
        <w:tc>
          <w:tcPr/>
          <w:p>
            <w:pPr>
              <w:pStyle w:val="Compact"/>
              <w:jc w:val="left"/>
            </w:pPr>
            <w:r>
              <w:t xml:space="preserve">TVA (VAT) – 18%</w:t>
            </w:r>
          </w:p>
        </w:tc>
        <w:tc>
          <w:tcPr/>
          <w:p>
            <w:pPr>
              <w:pStyle w:val="Compact"/>
              <w:jc w:val="left"/>
            </w:pPr>
            <w:r>
              <w:t xml:space="preserve">981,252 XOF</w:t>
            </w:r>
          </w:p>
        </w:tc>
      </w:tr>
      <w:tr>
        <w:tc>
          <w:tcPr/>
          <w:p>
            <w:pPr>
              <w:pStyle w:val="Compact"/>
              <w:jc w:val="left"/>
            </w:pPr>
            <w:r>
              <w:t xml:space="preserve">Taxe sur les Services Financiers – 1%</w:t>
            </w:r>
          </w:p>
        </w:tc>
        <w:tc>
          <w:tcPr/>
          <w:p>
            <w:pPr>
              <w:pStyle w:val="Compact"/>
              <w:jc w:val="left"/>
            </w:pPr>
            <w:r>
              <w:t xml:space="preserve">54,514 XOF</w:t>
            </w:r>
          </w:p>
        </w:tc>
      </w:tr>
      <w:tr>
        <w:tc>
          <w:tcPr/>
          <w:p>
            <w:pPr>
              <w:pStyle w:val="Compact"/>
              <w:jc w:val="left"/>
            </w:pPr>
            <w:r>
              <w:t xml:space="preserve">GRAND TOTAL DUE</w:t>
            </w:r>
          </w:p>
        </w:tc>
        <w:tc>
          <w:tcPr/>
          <w:p>
            <w:pPr>
              <w:pStyle w:val="Compact"/>
              <w:jc w:val="left"/>
            </w:pPr>
            <w:r>
              <w:t xml:space="preserve">6,487,166 XOF</w:t>
            </w:r>
          </w:p>
        </w:tc>
      </w:tr>
    </w:tbl>
    <w:bookmarkStart w:id="24" w:name="invoice-notes-terms"/>
    <w:p>
      <w:pPr>
        <w:pStyle w:val="Heading3"/>
      </w:pPr>
      <w:r>
        <w:t xml:space="preserve">Invoice Notes &amp; Terms</w:t>
      </w:r>
    </w:p>
    <w:p>
      <w:pPr>
        <w:pStyle w:val="FirstParagraph"/>
      </w:pPr>
      <w:r>
        <w:t xml:space="preserve">This Invoice is issued in accordance with the professional services agreement (Contract Ref: SADE-SFCG-2025-012) executed between Senegal Financial Consulting Group and Société Africaine de Développement Économique. All services rendered by the designated Financial Analyst were performed in full compliance with the CFA Institute Code of Ethics and the professional standards governing financial advisory practice in Senegal.</w:t>
      </w:r>
    </w:p>
    <w:p>
      <w:pPr>
        <w:pStyle w:val="BodyText"/>
      </w:pPr>
      <w:r>
        <w:t xml:space="preserve">The Financial Analyst confirms that all data, models, and analytical outputs referenced in this Invoice were prepared using verified source documents provided by the client. Any subsequent revisions or additional analysis beyond the scope defined in the original engagement letter will be subject to a supplementary Invoice and prior written approval from both parties.</w:t>
      </w:r>
    </w:p>
    <w:p>
      <w:pPr>
        <w:pStyle w:val="BodyText"/>
      </w:pPr>
      <w:r>
        <w:t xml:space="preserve">Payment is due within thirty (30) calendar days from the issue date of this Invoice. Late payments shall accrue interest at a rate of 1.5% per month in accordance with Senegalese commercial law. The client is requested to reference Invoice number SFCG-2025-00847 on all correspondence and remittance advices.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Senegal Financial Consulting Group</w:t>
      </w:r>
    </w:p>
    <w:p>
      <w:pPr>
        <w:pStyle w:val="BodyText"/>
      </w:pPr>
      <w:r>
        <w:rPr>
          <w:bCs/>
          <w:b/>
        </w:rPr>
        <w:t xml:space="preserve">IBAN:</w:t>
      </w:r>
      <w:r>
        <w:t xml:space="preserve"> </w:t>
      </w:r>
      <w:r>
        <w:t xml:space="preserve">SN08 1000 2000 0123 4567 8901 2345</w:t>
      </w:r>
    </w:p>
    <w:p>
      <w:pPr>
        <w:pStyle w:val="BodyText"/>
      </w:pPr>
      <w:r>
        <w:rPr>
          <w:bCs/>
          <w:b/>
        </w:rPr>
        <w:t xml:space="preserve">SWIFT/BIC:</w:t>
      </w:r>
      <w:r>
        <w:t xml:space="preserve"> </w:t>
      </w:r>
      <w:r>
        <w:t xml:space="preserve">SOGS SN DK</w:t>
      </w:r>
    </w:p>
    <w:p>
      <w:pPr>
        <w:pStyle w:val="BodyText"/>
      </w:pPr>
      <w:r>
        <w:rPr>
          <w:bCs/>
          <w:b/>
        </w:rPr>
        <w:t xml:space="preserve">Reference:</w:t>
      </w:r>
      <w:r>
        <w:t xml:space="preserve"> </w:t>
      </w:r>
      <w:r>
        <w:t xml:space="preserve">SFCG-2025-00847 – Financial Analyst Services – May 2025</w:t>
      </w:r>
    </w:p>
    <w:p>
      <w:pPr>
        <w:pStyle w:val="BodyText"/>
      </w:pPr>
      <w:r>
        <w:rPr>
          <w:bCs/>
          <w:b/>
        </w:rPr>
        <w:t xml:space="preserve">Alternative:</w:t>
      </w:r>
      <w:r>
        <w:t xml:space="preserve"> </w:t>
      </w:r>
      <w:r>
        <w:t xml:space="preserve">Mobile Money (Orange Money / Wave) – +221 77 456 89 01 (for amounts under 1,000,000 XOF only)</w:t>
      </w:r>
    </w:p>
    <w:bookmarkEnd w:id="25"/>
    <w:p>
      <w:pPr>
        <w:pStyle w:val="BodyText"/>
      </w:pPr>
      <w:r>
        <w:rPr>
          <w:bCs/>
          <w:b/>
        </w:rPr>
        <w:t xml:space="preserve">Senegal Financial Consulting Group</w:t>
      </w:r>
      <w:r>
        <w:t xml:space="preserve"> </w:t>
      </w:r>
      <w:r>
        <w:t xml:space="preserve">– Professional Financial Advisory &amp; Analysis Services</w:t>
      </w:r>
    </w:p>
    <w:p>
      <w:pPr>
        <w:pStyle w:val="BodyText"/>
      </w:pPr>
      <w:r>
        <w:t xml:space="preserve">Registered in Dakar, Senegal | RC: SN-DKR-2019-004521 | NIF: 004521000012</w:t>
      </w:r>
    </w:p>
    <w:p>
      <w:pPr>
        <w:pStyle w:val="BodyText"/>
      </w:pPr>
      <w:r>
        <w:t xml:space="preserve">This Invoice is a legally binding document under the Senegalese Code de Commerce and applicable BCEAO regulations.</w:t>
      </w:r>
    </w:p>
    <w:p>
      <w:pPr>
        <w:pStyle w:val="BodyText"/>
      </w:pPr>
      <w:r>
        <w:t xml:space="preserve">For queries regarding this Invoice, please contact our billing department at billing@sfcg-senegal.sn or +221 33 820 45 67.</w:t>
      </w:r>
    </w:p>
    <w:p>
      <w:pPr>
        <w:pStyle w:val="BodyText"/>
      </w:pPr>
      <w:r>
        <w:t xml:space="preserve">Document generated on 15 June 2025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Senegal Dakar</dc:title>
  <dc:creator/>
  <dc:language>en</dc:language>
  <cp:keywords/>
  <dcterms:created xsi:type="dcterms:W3CDTF">2026-10-10T09:05:04Z</dcterms:created>
  <dcterms:modified xsi:type="dcterms:W3CDTF">2026-10-10T09:05:04Z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