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barcelona-financial-analytics-s.l."/>
    <w:p>
      <w:pPr>
        <w:pStyle w:val="Heading1"/>
      </w:pPr>
      <w:r>
        <w:t xml:space="preserve">Barcelona Financial Analytics S.L.</w:t>
      </w:r>
    </w:p>
    <w:p>
      <w:pPr>
        <w:pStyle w:val="FirstParagraph"/>
      </w:pPr>
      <w:r>
        <w:t xml:space="preserve">Carrer de la Diagonal 456, 3r 2a</w:t>
      </w:r>
    </w:p>
    <w:p>
      <w:pPr>
        <w:pStyle w:val="BodyText"/>
      </w:pPr>
      <w:r>
        <w:t xml:space="preserve">08006 Barcelona, Spain</w:t>
      </w:r>
    </w:p>
    <w:p>
      <w:pPr>
        <w:pStyle w:val="BodyText"/>
      </w:pPr>
      <w:r>
        <w:t xml:space="preserve">NIF: B-65432109</w:t>
      </w:r>
    </w:p>
    <w:p>
      <w:pPr>
        <w:pStyle w:val="BodyText"/>
      </w:pPr>
      <w:r>
        <w:t xml:space="preserve">Phone: +34 932 555 890</w:t>
      </w:r>
    </w:p>
    <w:p>
      <w:pPr>
        <w:pStyle w:val="BodyText"/>
      </w:pPr>
      <w:r>
        <w:t xml:space="preserve">Email: billing@bcnfinancialanalytics.es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FA-BCN-2025-Q2</w:t>
      </w:r>
    </w:p>
    <w:bookmarkEnd w:id="21"/>
    <w:bookmarkStart w:id="22" w:name="billed-to"/>
    <w:p>
      <w:pPr>
        <w:pStyle w:val="Heading3"/>
      </w:pPr>
      <w:r>
        <w:t xml:space="preserve">Billed To</w:t>
      </w:r>
    </w:p>
    <w:p>
      <w:pPr>
        <w:pStyle w:val="FirstParagraph"/>
      </w:pPr>
      <w:r>
        <w:rPr>
          <w:bCs/>
          <w:b/>
        </w:rPr>
        <w:t xml:space="preserve">Mediterranean Capital Partners S.A.</w:t>
      </w:r>
    </w:p>
    <w:p>
      <w:pPr>
        <w:pStyle w:val="BodyText"/>
      </w:pPr>
      <w:r>
        <w:t xml:space="preserve">Attn: Mr. Jordi Ferrer, Chief Financial Officer</w:t>
      </w:r>
    </w:p>
    <w:p>
      <w:pPr>
        <w:pStyle w:val="BodyText"/>
      </w:pPr>
      <w:r>
        <w:t xml:space="preserve">Avinguda Diagonal 620, 8th Floor</w:t>
      </w:r>
    </w:p>
    <w:p>
      <w:pPr>
        <w:pStyle w:val="BodyText"/>
      </w:pPr>
      <w:r>
        <w:t xml:space="preserve">08021 Barcelona, Spain</w:t>
      </w:r>
    </w:p>
    <w:p>
      <w:pPr>
        <w:pStyle w:val="BodyText"/>
      </w:pPr>
      <w:r>
        <w:t xml:space="preserve">NIF: A-78912345</w:t>
      </w:r>
    </w:p>
    <w:bookmarkEnd w:id="22"/>
    <w:bookmarkStart w:id="23" w:name="service-provider"/>
    <w:p>
      <w:pPr>
        <w:pStyle w:val="Heading3"/>
      </w:pPr>
      <w:r>
        <w:t xml:space="preserve">Service Provider</w:t>
      </w:r>
    </w:p>
    <w:p>
      <w:pPr>
        <w:pStyle w:val="FirstParagraph"/>
      </w:pPr>
      <w:r>
        <w:rPr>
          <w:bCs/>
          <w:b/>
        </w:rPr>
        <w:t xml:space="preserve">Financial Analyst: Dr. Elena Marchetti</w:t>
      </w:r>
    </w:p>
    <w:p>
      <w:pPr>
        <w:pStyle w:val="BodyText"/>
      </w:pPr>
      <w:r>
        <w:t xml:space="preserve">Senior Financial Analyst, CFA Charterholder</w:t>
      </w:r>
    </w:p>
    <w:p>
      <w:pPr>
        <w:pStyle w:val="BodyText"/>
      </w:pPr>
      <w:r>
        <w:t xml:space="preserve">Barcelona Financial Analytics S.L.</w:t>
      </w:r>
    </w:p>
    <w:p>
      <w:pPr>
        <w:pStyle w:val="BodyText"/>
      </w:pPr>
      <w:r>
        <w:t xml:space="preserve">Professional License: COAC-BA-2019-0034</w:t>
      </w:r>
    </w:p>
    <w:p>
      <w:pPr>
        <w:pStyle w:val="BodyText"/>
      </w:pPr>
      <w:r>
        <w:t xml:space="preserve">Based in: Spain Barcelona, Catalonia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Financial Analyst Services</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Quarterly Financial Performance Analysis and Reporting for Mediterranean Capital Partners. Comprehensive review of Q2 2025 financial statements, variance analysis, and KPI benchmarking conducted by the assigned Financial Analyst in Spain Barcelona.</w:t>
            </w:r>
          </w:p>
        </w:tc>
        <w:tc>
          <w:tcPr/>
          <w:p>
            <w:pPr>
              <w:pStyle w:val="Compact"/>
              <w:jc w:val="left"/>
            </w:pPr>
            <w:r>
              <w:t xml:space="preserve">Apr – Jun 2025</w:t>
            </w:r>
          </w:p>
        </w:tc>
        <w:tc>
          <w:tcPr/>
          <w:p>
            <w:pPr>
              <w:pStyle w:val="Compact"/>
              <w:jc w:val="left"/>
            </w:pPr>
            <w:r>
              <w:t xml:space="preserve">48</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2</w:t>
            </w:r>
          </w:p>
        </w:tc>
        <w:tc>
          <w:tcPr/>
          <w:p>
            <w:pPr>
              <w:pStyle w:val="Compact"/>
              <w:jc w:val="left"/>
            </w:pPr>
            <w:r>
              <w:t xml:space="preserve">Capital Structure Optimization and Debt Refinancing Feasibility Study. The Financial Analyst prepared a detailed model evaluating three refinancing scenarios, including interest rate sensitivity analysis and covenant compliance projections for the client's existing credit facilities.</w:t>
            </w:r>
          </w:p>
        </w:tc>
        <w:tc>
          <w:tcPr/>
          <w:p>
            <w:pPr>
              <w:pStyle w:val="Compact"/>
              <w:jc w:val="left"/>
            </w:pPr>
            <w:r>
              <w:t xml:space="preserve">May 2025</w:t>
            </w:r>
          </w:p>
        </w:tc>
        <w:tc>
          <w:tcPr/>
          <w:p>
            <w:pPr>
              <w:pStyle w:val="Compact"/>
              <w:jc w:val="left"/>
            </w:pPr>
            <w:r>
              <w:t xml:space="preserve">32</w:t>
            </w:r>
          </w:p>
        </w:tc>
        <w:tc>
          <w:tcPr/>
          <w:p>
            <w:pPr>
              <w:pStyle w:val="Compact"/>
              <w:jc w:val="left"/>
            </w:pPr>
            <w:r>
              <w:t xml:space="preserve">€95.00</w:t>
            </w:r>
          </w:p>
        </w:tc>
        <w:tc>
          <w:tcPr/>
          <w:p>
            <w:pPr>
              <w:pStyle w:val="Compact"/>
              <w:jc w:val="left"/>
            </w:pPr>
            <w:r>
              <w:t xml:space="preserve">€3,040.00</w:t>
            </w:r>
          </w:p>
        </w:tc>
      </w:tr>
      <w:tr>
        <w:tc>
          <w:tcPr/>
          <w:p>
            <w:pPr>
              <w:pStyle w:val="Compact"/>
              <w:jc w:val="left"/>
            </w:pPr>
            <w:r>
              <w:t xml:space="preserve">3</w:t>
            </w:r>
          </w:p>
        </w:tc>
        <w:tc>
          <w:tcPr/>
          <w:p>
            <w:pPr>
              <w:pStyle w:val="Compact"/>
              <w:jc w:val="left"/>
            </w:pPr>
            <w:r>
              <w:t xml:space="preserve">Investment Portfolio Risk Assessment and Stress Testing. Conducted Monte Carlo simulations and Value-at-Risk (VaR) calculations across the client's diversified portfolio. The Financial Analyst delivered a 45-page risk report with actionable hedging recommendations tailored to the Spain Barcelona market conditions.</w:t>
            </w:r>
          </w:p>
        </w:tc>
        <w:tc>
          <w:tcPr/>
          <w:p>
            <w:pPr>
              <w:pStyle w:val="Compact"/>
              <w:jc w:val="left"/>
            </w:pPr>
            <w:r>
              <w:t xml:space="preserve">Jun 2025</w:t>
            </w:r>
          </w:p>
        </w:tc>
        <w:tc>
          <w:tcPr/>
          <w:p>
            <w:pPr>
              <w:pStyle w:val="Compact"/>
              <w:jc w:val="left"/>
            </w:pPr>
            <w:r>
              <w:t xml:space="preserve">28</w:t>
            </w:r>
          </w:p>
        </w:tc>
        <w:tc>
          <w:tcPr/>
          <w:p>
            <w:pPr>
              <w:pStyle w:val="Compact"/>
              <w:jc w:val="left"/>
            </w:pPr>
            <w:r>
              <w:t xml:space="preserve">€95.00</w:t>
            </w:r>
          </w:p>
        </w:tc>
        <w:tc>
          <w:tcPr/>
          <w:p>
            <w:pPr>
              <w:pStyle w:val="Compact"/>
              <w:jc w:val="left"/>
            </w:pPr>
            <w:r>
              <w:t xml:space="preserve">€2,660.00</w:t>
            </w:r>
          </w:p>
        </w:tc>
      </w:tr>
      <w:tr>
        <w:tc>
          <w:tcPr/>
          <w:p>
            <w:pPr>
              <w:pStyle w:val="Compact"/>
              <w:jc w:val="left"/>
            </w:pPr>
            <w:r>
              <w:t xml:space="preserve">4</w:t>
            </w:r>
          </w:p>
        </w:tc>
        <w:tc>
          <w:tcPr/>
          <w:p>
            <w:pPr>
              <w:pStyle w:val="Compact"/>
              <w:jc w:val="left"/>
            </w:pPr>
            <w:r>
              <w:t xml:space="preserve">Regulatory Compliance Review – CNMV and Bank of Spain Reporting. The Financial Analyst ensured all quarterly filings met the latest regulatory requirements set by the Comisión Nacional del Mercado de Valores (CNMV) and Banco de España, including IFRS 9 impairment testing documentation.</w:t>
            </w:r>
          </w:p>
        </w:tc>
        <w:tc>
          <w:tcPr/>
          <w:p>
            <w:pPr>
              <w:pStyle w:val="Compact"/>
              <w:jc w:val="left"/>
            </w:pPr>
            <w:r>
              <w:t xml:space="preserve">Jun 2025</w:t>
            </w:r>
          </w:p>
        </w:tc>
        <w:tc>
          <w:tcPr/>
          <w:p>
            <w:pPr>
              <w:pStyle w:val="Compact"/>
              <w:jc w:val="left"/>
            </w:pPr>
            <w:r>
              <w:t xml:space="preserve">16</w:t>
            </w:r>
          </w:p>
        </w:tc>
        <w:tc>
          <w:tcPr/>
          <w:p>
            <w:pPr>
              <w:pStyle w:val="Compact"/>
              <w:jc w:val="left"/>
            </w:pPr>
            <w:r>
              <w:t xml:space="preserve">€95.00</w:t>
            </w:r>
          </w:p>
        </w:tc>
        <w:tc>
          <w:tcPr/>
          <w:p>
            <w:pPr>
              <w:pStyle w:val="Compact"/>
              <w:jc w:val="left"/>
            </w:pPr>
            <w:r>
              <w:t xml:space="preserve">€1,520.00</w:t>
            </w:r>
          </w:p>
        </w:tc>
      </w:tr>
      <w:tr>
        <w:tc>
          <w:tcPr/>
          <w:p>
            <w:pPr>
              <w:pStyle w:val="Compact"/>
              <w:jc w:val="left"/>
            </w:pPr>
            <w:r>
              <w:t xml:space="preserve">5</w:t>
            </w:r>
          </w:p>
        </w:tc>
        <w:tc>
          <w:tcPr/>
          <w:p>
            <w:pPr>
              <w:pStyle w:val="Compact"/>
              <w:jc w:val="left"/>
            </w:pPr>
            <w:r>
              <w:t xml:space="preserve">Board Presentation and Strategic Advisory Session. The Financial Analyst prepared and delivered a 90-minute executive presentation to the Board of Directors in Barcelona, Spain, covering forward-looking financial projections, M&amp;A target screening criteria, and capital allocation strategy for H2 2025.</w:t>
            </w:r>
          </w:p>
        </w:tc>
        <w:tc>
          <w:tcPr/>
          <w:p>
            <w:pPr>
              <w:pStyle w:val="Compact"/>
              <w:jc w:val="left"/>
            </w:pPr>
            <w:r>
              <w:t xml:space="preserve">12 Jun 2025</w:t>
            </w:r>
          </w:p>
        </w:tc>
        <w:tc>
          <w:tcPr/>
          <w:p>
            <w:pPr>
              <w:pStyle w:val="Compact"/>
              <w:jc w:val="left"/>
            </w:pPr>
            <w:r>
              <w:t xml:space="preserve">8</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6</w:t>
            </w:r>
          </w:p>
        </w:tc>
        <w:tc>
          <w:tcPr/>
          <w:p>
            <w:pPr>
              <w:pStyle w:val="Compact"/>
              <w:jc w:val="left"/>
            </w:pPr>
            <w:r>
              <w:t xml:space="preserve">Ad-hoc Financial Modelling and Scenario Planning. Development of a dynamic 5-year DCF model incorporating Spain-specific macroeconomic variables (IBEX 35 index, EUR/USD exchange rates, and Catalonia regional GDP growth) for the client's expansion into the Iberian market.</w:t>
            </w:r>
          </w:p>
        </w:tc>
        <w:tc>
          <w:tcPr/>
          <w:p>
            <w:pPr>
              <w:pStyle w:val="Compact"/>
              <w:jc w:val="left"/>
            </w:pPr>
            <w:r>
              <w:t xml:space="preserve">Jun 2025</w:t>
            </w:r>
          </w:p>
        </w:tc>
        <w:tc>
          <w:tcPr/>
          <w:p>
            <w:pPr>
              <w:pStyle w:val="Compact"/>
              <w:jc w:val="left"/>
            </w:pPr>
            <w:r>
              <w:t xml:space="preserve">20</w:t>
            </w:r>
          </w:p>
        </w:tc>
        <w:tc>
          <w:tcPr/>
          <w:p>
            <w:pPr>
              <w:pStyle w:val="Compact"/>
              <w:jc w:val="left"/>
            </w:pPr>
            <w:r>
              <w:t xml:space="preserve">€95.00</w:t>
            </w:r>
          </w:p>
        </w:tc>
        <w:tc>
          <w:tcPr/>
          <w:p>
            <w:pPr>
              <w:pStyle w:val="Compact"/>
              <w:jc w:val="left"/>
            </w:pPr>
            <w:r>
              <w:t xml:space="preserve">€1,900.00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€14,640.00</w:t>
            </w:r>
          </w:p>
        </w:tc>
      </w:tr>
      <w:tr>
        <w:tc>
          <w:tcPr/>
          <w:p>
            <w:pPr>
              <w:pStyle w:val="Compact"/>
              <w:jc w:val="left"/>
            </w:pPr>
            <w:r>
              <w:t xml:space="preserve">VAT (IVA) – 21% (Spain)</w:t>
            </w:r>
          </w:p>
        </w:tc>
        <w:tc>
          <w:tcPr/>
          <w:p>
            <w:pPr>
              <w:pStyle w:val="Compact"/>
              <w:jc w:val="left"/>
            </w:pPr>
            <w:r>
              <w:t xml:space="preserve">€3,074.40</w:t>
            </w:r>
          </w:p>
        </w:tc>
      </w:tr>
      <w:tr>
        <w:tc>
          <w:tcPr/>
          <w:p>
            <w:pPr>
              <w:pStyle w:val="Compact"/>
              <w:jc w:val="left"/>
            </w:pPr>
            <w:r>
              <w:t xml:space="preserve">Retención IRPF (19%) – Withheld</w:t>
            </w:r>
          </w:p>
        </w:tc>
        <w:tc>
          <w:tcPr/>
          <w:p>
            <w:pPr>
              <w:pStyle w:val="Compact"/>
              <w:jc w:val="left"/>
            </w:pPr>
            <w:r>
              <w:t xml:space="preserve">– €2,781.60</w:t>
            </w:r>
          </w:p>
        </w:tc>
      </w:tr>
      <w:tr>
        <w:tc>
          <w:tcPr/>
          <w:p>
            <w:pPr>
              <w:pStyle w:val="Compact"/>
              <w:jc w:val="left"/>
            </w:pPr>
            <w:r>
              <w:t xml:space="preserve">Net Amount Due</w:t>
            </w:r>
          </w:p>
        </w:tc>
        <w:tc>
          <w:tcPr/>
          <w:p>
            <w:pPr>
              <w:pStyle w:val="Compact"/>
              <w:jc w:val="left"/>
            </w:pPr>
            <w:r>
              <w:t xml:space="preserve">€14,932.80</w:t>
            </w:r>
          </w:p>
        </w:tc>
      </w:tr>
    </w:tbl>
    <w:bookmarkStart w:id="24" w:name="X11b9b466ee149aac94ea1871f866e9513cf4531"/>
    <w:p>
      <w:pPr>
        <w:pStyle w:val="Heading3"/>
      </w:pPr>
      <w:r>
        <w:t xml:space="preserve">Payment Instructions – Bank Transfer (Spain Barcelona)</w:t>
      </w:r>
    </w:p>
    <w:p>
      <w:pPr>
        <w:pStyle w:val="FirstParagraph"/>
      </w:pPr>
      <w:r>
        <w:rPr>
          <w:bCs/>
          <w:b/>
        </w:rPr>
        <w:t xml:space="preserve">Bank:</w:t>
      </w:r>
      <w:r>
        <w:t xml:space="preserve"> </w:t>
      </w:r>
      <w:r>
        <w:t xml:space="preserve">Banco Santander S.A. – Barcelona Branch</w:t>
      </w:r>
    </w:p>
    <w:p>
      <w:pPr>
        <w:pStyle w:val="BodyText"/>
      </w:pPr>
      <w:r>
        <w:rPr>
          <w:bCs/>
          <w:b/>
        </w:rPr>
        <w:t xml:space="preserve">IBAN:</w:t>
      </w:r>
      <w:r>
        <w:t xml:space="preserve"> </w:t>
      </w:r>
      <w:r>
        <w:t xml:space="preserve">ES91 0049 0001 5320 1234 5678</w:t>
      </w:r>
    </w:p>
    <w:p>
      <w:pPr>
        <w:pStyle w:val="BodyText"/>
      </w:pPr>
      <w:r>
        <w:rPr>
          <w:bCs/>
          <w:b/>
        </w:rPr>
        <w:t xml:space="preserve">BIC/SWIFT:</w:t>
      </w:r>
      <w:r>
        <w:t xml:space="preserve"> </w:t>
      </w:r>
      <w:r>
        <w:t xml:space="preserve">BSABESBBXXX</w:t>
      </w:r>
    </w:p>
    <w:p>
      <w:pPr>
        <w:pStyle w:val="BodyText"/>
      </w:pPr>
      <w:r>
        <w:rPr>
          <w:bCs/>
          <w:b/>
        </w:rPr>
        <w:t xml:space="preserve">Reference:</w:t>
      </w:r>
      <w:r>
        <w:t xml:space="preserve"> </w:t>
      </w:r>
      <w:r>
        <w:t xml:space="preserve">INV-2025-00472 / FA-BCN-2025-Q2</w:t>
      </w:r>
    </w:p>
    <w:p>
      <w:pPr>
        <w:pStyle w:val="BodyText"/>
      </w:pPr>
      <w:r>
        <w:rPr>
          <w:bCs/>
          <w:b/>
        </w:rPr>
        <w:t xml:space="preserve">Payment Method:</w:t>
      </w:r>
      <w:r>
        <w:t xml:space="preserve"> </w:t>
      </w:r>
      <w:r>
        <w:t xml:space="preserve">SEPA Transfer (preferred) or Wire Transfer</w:t>
      </w:r>
    </w:p>
    <w:bookmarkEnd w:id="24"/>
    <w:bookmarkStart w:id="25" w:name="terms-conditions-notes"/>
    <w:p>
      <w:pPr>
        <w:pStyle w:val="Heading3"/>
      </w:pPr>
      <w:r>
        <w:t xml:space="preserve">Terms, Conditions &amp; Notes</w:t>
      </w:r>
    </w:p>
    <w:p>
      <w:pPr>
        <w:numPr>
          <w:ilvl w:val="0"/>
          <w:numId w:val="1001"/>
        </w:numPr>
        <w:pStyle w:val="Compact"/>
      </w:pPr>
      <w:r>
        <w:t xml:space="preserve">This Invoice is issued in accordance with the professional services agreement dated 01 January 2025 between Barcelona Financial Analytics S.L. and Mediterranean Capital Partners S.A., both registered in Spain Barcelona.</w:t>
      </w:r>
    </w:p>
    <w:p>
      <w:pPr>
        <w:numPr>
          <w:ilvl w:val="0"/>
          <w:numId w:val="1001"/>
        </w:numPr>
        <w:pStyle w:val="Compact"/>
      </w:pPr>
      <w:r>
        <w:t xml:space="preserve">Payment is due within 30 calendar days from the date of this Invoice. Late payments shall accrue interest at the rate established by Article 20 of the Spanish Ley 3/2004 de lucha contra la morosidad en las operaciones comerciales (Anti-Delinquency Law), currently 8.5% per annum above the ECB reference rate.</w:t>
      </w:r>
    </w:p>
    <w:p>
      <w:pPr>
        <w:numPr>
          <w:ilvl w:val="0"/>
          <w:numId w:val="1001"/>
        </w:numPr>
        <w:pStyle w:val="Compact"/>
      </w:pPr>
      <w:r>
        <w:t xml:space="preserve">The Financial Analyst services described herein were performed in full compliance with the ethical standards of the CFA Institute and the professional regulations of the Il·lustre Col·legi d'Economistes de Catalunya (Barcelona).</w:t>
      </w:r>
    </w:p>
    <w:p>
      <w:pPr>
        <w:numPr>
          <w:ilvl w:val="0"/>
          <w:numId w:val="1001"/>
        </w:numPr>
        <w:pStyle w:val="Compact"/>
      </w:pPr>
      <w:r>
        <w:t xml:space="preserve">All financial data, models, and reports delivered under this Invoice remain the intellectual property of the client upon full payment. The Financial Analyst retains the right to reference the engagement in professional portfolios with prior written consent.</w:t>
      </w:r>
    </w:p>
    <w:p>
      <w:pPr>
        <w:numPr>
          <w:ilvl w:val="0"/>
          <w:numId w:val="1001"/>
        </w:numPr>
        <w:pStyle w:val="Compact"/>
      </w:pPr>
      <w:r>
        <w:t xml:space="preserve">This Invoice is subject to the VAT (Impuesto sobre el Valor Añadido) regulations of Spain. The 21% IVA rate applies as the standard rate for professional services rendered in the autonomous community of Catalonia, Spain Barcelona.</w:t>
      </w:r>
    </w:p>
    <w:p>
      <w:pPr>
        <w:numPr>
          <w:ilvl w:val="0"/>
          <w:numId w:val="1001"/>
        </w:numPr>
        <w:pStyle w:val="Compact"/>
      </w:pPr>
      <w:r>
        <w:t xml:space="preserve">The 19% IRPF withholding has been applied as required for professional services rendered by a legal entity to a corporate client in Spain. The client is responsible for filing the corresponding Model 111 quarterly tax return with the Agencia Estatal de Administración Tributaria (AEAT).</w:t>
      </w:r>
    </w:p>
    <w:p>
      <w:pPr>
        <w:numPr>
          <w:ilvl w:val="0"/>
          <w:numId w:val="1001"/>
        </w:numPr>
        <w:pStyle w:val="Compact"/>
      </w:pPr>
      <w:r>
        <w:t xml:space="preserve">Any disputes arising from this Invoice shall be resolved by the competent courts of Barcelona, Spain, in accordance with Spanish civil and commercial law.</w:t>
      </w:r>
    </w:p>
    <w:p>
      <w:pPr>
        <w:numPr>
          <w:ilvl w:val="0"/>
          <w:numId w:val="1001"/>
        </w:numPr>
        <w:pStyle w:val="Compact"/>
      </w:pPr>
      <w:r>
        <w:t xml:space="preserve">Please retain this Invoice for your accounting records. A digital copy is available upon request at billing@bcnfinancialanalytics.es. This document constitutes a valid fiscal invoice under Spanish tax law (Ley 58/2003 General Tributaria).</w:t>
      </w:r>
    </w:p>
    <w:bookmarkEnd w:id="25"/>
    <w:p>
      <w:pPr>
        <w:pStyle w:val="FirstParagraph"/>
      </w:pPr>
      <w:r>
        <w:t xml:space="preserve">✓ INVOICE VERIFIED – Barcelona Financial Analytics S.L. – Spain Barcelona</w:t>
      </w:r>
    </w:p>
    <w:p>
      <w:pPr>
        <w:pStyle w:val="BodyText"/>
      </w:pPr>
      <w:r>
        <w:rPr>
          <w:bCs/>
          <w:b/>
        </w:rPr>
        <w:t xml:space="preserve">Barcelona Financial Analytics S.L.</w:t>
      </w:r>
      <w:r>
        <w:t xml:space="preserve"> </w:t>
      </w:r>
      <w:r>
        <w:t xml:space="preserve">– Registered in the Mercantile Registry of Barcelona, Volume 4521, Folio 89, Sheet B-65432109</w:t>
      </w:r>
    </w:p>
    <w:p>
      <w:pPr>
        <w:pStyle w:val="BodyText"/>
      </w:pPr>
      <w:r>
        <w:t xml:space="preserve">Carrer de la Diagonal 456, 3r 2a, 08006 Barcelona, Spain | NIF: B-65432109</w:t>
      </w:r>
    </w:p>
    <w:p>
      <w:pPr>
        <w:pStyle w:val="BodyText"/>
      </w:pPr>
      <w:r>
        <w:t xml:space="preserve">This Invoice was generated electronically on 15 June 2025. For queries regarding this Invoice, please contact our billing department in Spain Barcelona at +34 932 555 890 or billing@bcnfinancialanalytics.es.</w:t>
      </w:r>
    </w:p>
    <w:p>
      <w:pPr>
        <w:pStyle w:val="BodyText"/>
      </w:pPr>
      <w:r>
        <w:t xml:space="preserve">Thank you for your business. We value our partnership and look forward to continuing to provide expert Financial Analyst services to your organization in Spain Barcelona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Spain Barcelona</dc:title>
  <dc:creator/>
  <dc:language>en</dc:language>
  <cp:keywords/>
  <dcterms:created xsi:type="dcterms:W3CDTF">2026-10-10T06:44:30Z</dcterms:created>
  <dcterms:modified xsi:type="dcterms:W3CDTF">2026-10-10T06:44:30Z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