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nile-financial-advisory-group"/>
    <w:p>
      <w:pPr>
        <w:pStyle w:val="Heading1"/>
      </w:pPr>
      <w:r>
        <w:t xml:space="preserve">Nile Financial Advisory Group</w:t>
      </w:r>
    </w:p>
    <w:p>
      <w:pPr>
        <w:pStyle w:val="FirstParagraph"/>
      </w:pPr>
      <w:r>
        <w:t xml:space="preserve">Professional Financial Analyst Services</w:t>
      </w:r>
    </w:p>
    <w:p>
      <w:pPr>
        <w:pStyle w:val="BodyText"/>
      </w:pPr>
      <w:r>
        <w:t xml:space="preserve">Office 42, Nile Tower, El-Mahamariya Street</w:t>
      </w:r>
    </w:p>
    <w:p>
      <w:pPr>
        <w:pStyle w:val="BodyText"/>
      </w:pPr>
      <w:r>
        <w:t xml:space="preserve">Khartoum, Sudan 11111</w:t>
      </w:r>
    </w:p>
    <w:p>
      <w:pPr>
        <w:pStyle w:val="BodyText"/>
      </w:pPr>
      <w:r>
        <w:t xml:space="preserve">Tel: +249-183-456-789 | Email: billing@nilefinancial.sd</w:t>
      </w:r>
    </w:p>
    <w:p>
      <w:pPr>
        <w:pStyle w:val="BodyText"/>
      </w:pPr>
      <w:r>
        <w:t xml:space="preserve">CR No: SD-2019-45821 | VAT Reg: 004582100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NFA-2025-00347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FA-KRT-2025-Q2</w:t>
      </w:r>
    </w:p>
    <w:bookmarkEnd w:id="21"/>
    <w:bookmarkStart w:id="22" w:name="bill-to"/>
    <w:p>
      <w:pPr>
        <w:pStyle w:val="Heading3"/>
      </w:pPr>
      <w:r>
        <w:t xml:space="preserve">Bill To</w:t>
      </w:r>
    </w:p>
    <w:p>
      <w:pPr>
        <w:pStyle w:val="FirstParagraph"/>
      </w:pPr>
      <w:r>
        <w:rPr>
          <w:bCs/>
          <w:b/>
        </w:rPr>
        <w:t xml:space="preserve">Al-Rashid Industrial Holdings PLC</w:t>
      </w:r>
    </w:p>
    <w:p>
      <w:pPr>
        <w:pStyle w:val="BodyText"/>
      </w:pPr>
      <w:r>
        <w:t xml:space="preserve">Attn: Mr. Ibrahim El-Tahir, Chief Financial Officer</w:t>
      </w:r>
    </w:p>
    <w:p>
      <w:pPr>
        <w:pStyle w:val="BodyText"/>
      </w:pPr>
      <w:r>
        <w:t xml:space="preserve">Headquarters, Industrial Area, El-Obeid Road</w:t>
      </w:r>
    </w:p>
    <w:p>
      <w:pPr>
        <w:pStyle w:val="BodyText"/>
      </w:pPr>
      <w:r>
        <w:t xml:space="preserve">Khartoum, Sudan 12345</w:t>
      </w:r>
    </w:p>
    <w:p>
      <w:pPr>
        <w:pStyle w:val="BodyText"/>
      </w:pPr>
      <w:r>
        <w:t xml:space="preserve">Tel: +249-189-234-567</w:t>
      </w:r>
    </w:p>
    <w:p>
      <w:pPr>
        <w:pStyle w:val="BodyText"/>
      </w:pPr>
      <w:r>
        <w:t xml:space="preserve">Email: finance@alrashidholdings.sd</w:t>
      </w:r>
    </w:p>
    <w:bookmarkEnd w:id="22"/>
    <w:bookmarkStart w:id="23" w:name="prepared-by"/>
    <w:p>
      <w:pPr>
        <w:pStyle w:val="Heading3"/>
      </w:pPr>
      <w:r>
        <w:t xml:space="preserve">Prepared By</w:t>
      </w:r>
    </w:p>
    <w:p>
      <w:pPr>
        <w:pStyle w:val="FirstParagraph"/>
      </w:pPr>
      <w:r>
        <w:rPr>
          <w:bCs/>
          <w:b/>
        </w:rPr>
        <w:t xml:space="preserve">Dr. Salma Abdelrahman Hassan</w:t>
      </w:r>
    </w:p>
    <w:p>
      <w:pPr>
        <w:pStyle w:val="BodyText"/>
      </w:pPr>
      <w:r>
        <w:t xml:space="preserve">Senior Financial Analyst</w:t>
      </w:r>
    </w:p>
    <w:p>
      <w:pPr>
        <w:pStyle w:val="BodyText"/>
      </w:pPr>
      <w:r>
        <w:t xml:space="preserve">CFA Charterholder, MSc Finance</w:t>
      </w:r>
    </w:p>
    <w:p>
      <w:pPr>
        <w:pStyle w:val="BodyText"/>
      </w:pPr>
      <w:r>
        <w:t xml:space="preserve">Nile Financial Advisory Group</w:t>
      </w:r>
    </w:p>
    <w:p>
      <w:pPr>
        <w:pStyle w:val="BodyText"/>
      </w:pPr>
      <w:r>
        <w:t xml:space="preserve">Khartoum, Sudan</w:t>
      </w:r>
    </w:p>
    <w:p>
      <w:pPr>
        <w:pStyle w:val="BodyText"/>
      </w:pPr>
      <w:r>
        <w:t xml:space="preserve">License No: SFA-2020-0089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Period</w:t>
            </w:r>
          </w:p>
        </w:tc>
        <w:tc>
          <w:tcPr/>
          <w:p>
            <w:pPr>
              <w:pStyle w:val="Compact"/>
              <w:jc w:val="left"/>
            </w:pPr>
            <w:r>
              <w:t xml:space="preserve">Rate (SDG)</w:t>
            </w:r>
          </w:p>
        </w:tc>
        <w:tc>
          <w:tcPr/>
          <w:p>
            <w:pPr>
              <w:pStyle w:val="Compact"/>
              <w:jc w:val="left"/>
            </w:pPr>
            <w:r>
              <w:t xml:space="preserve">Hours</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Comprehensive Financial Analysis and Quarterly Performance Review for Al-Rashid Industrial Holdings. The Financial Analyst conducted a thorough examination of income statements, balance sheets, and cash flow projections for Q1 2025, identifying key variances and recommending corrective strategic measures.</w:t>
            </w:r>
          </w:p>
        </w:tc>
        <w:tc>
          <w:tcPr/>
          <w:p>
            <w:pPr>
              <w:pStyle w:val="Compact"/>
              <w:jc w:val="left"/>
            </w:pPr>
            <w:r>
              <w:t xml:space="preserve">Jan – Mar 2025</w:t>
            </w:r>
          </w:p>
        </w:tc>
        <w:tc>
          <w:tcPr/>
          <w:p>
            <w:pPr>
              <w:pStyle w:val="Compact"/>
              <w:jc w:val="left"/>
            </w:pPr>
            <w:r>
              <w:t xml:space="preserve">850.00</w:t>
            </w:r>
          </w:p>
        </w:tc>
        <w:tc>
          <w:tcPr/>
          <w:p>
            <w:pPr>
              <w:pStyle w:val="Compact"/>
              <w:jc w:val="left"/>
            </w:pPr>
            <w:r>
              <w:t xml:space="preserve">48</w:t>
            </w:r>
          </w:p>
        </w:tc>
        <w:tc>
          <w:tcPr/>
          <w:p>
            <w:pPr>
              <w:pStyle w:val="Compact"/>
              <w:jc w:val="left"/>
            </w:pPr>
            <w:r>
              <w:t xml:space="preserve">40,800.00</w:t>
            </w:r>
          </w:p>
        </w:tc>
      </w:tr>
      <w:tr>
        <w:tc>
          <w:tcPr/>
          <w:p>
            <w:pPr>
              <w:pStyle w:val="Compact"/>
              <w:jc w:val="left"/>
            </w:pPr>
            <w:r>
              <w:t xml:space="preserve">2</w:t>
            </w:r>
          </w:p>
        </w:tc>
        <w:tc>
          <w:tcPr/>
          <w:p>
            <w:pPr>
              <w:pStyle w:val="Compact"/>
              <w:jc w:val="left"/>
            </w:pPr>
            <w:r>
              <w:t xml:space="preserve">Capital Structure Optimization and Debt-to-Equity Ratio Assessment. The Financial Analyst performed detailed modeling of alternative financing scenarios, including Sukuk issuance options compliant with Sudanese Shariah regulations, and prepared a board-level presentation for the Khartoum headquarters.</w:t>
            </w:r>
          </w:p>
        </w:tc>
        <w:tc>
          <w:tcPr/>
          <w:p>
            <w:pPr>
              <w:pStyle w:val="Compact"/>
              <w:jc w:val="left"/>
            </w:pPr>
            <w:r>
              <w:t xml:space="preserve">Apr 2025</w:t>
            </w:r>
          </w:p>
        </w:tc>
        <w:tc>
          <w:tcPr/>
          <w:p>
            <w:pPr>
              <w:pStyle w:val="Compact"/>
              <w:jc w:val="left"/>
            </w:pPr>
            <w:r>
              <w:t xml:space="preserve">850.00</w:t>
            </w:r>
          </w:p>
        </w:tc>
        <w:tc>
          <w:tcPr/>
          <w:p>
            <w:pPr>
              <w:pStyle w:val="Compact"/>
              <w:jc w:val="left"/>
            </w:pPr>
            <w:r>
              <w:t xml:space="preserve">36</w:t>
            </w:r>
          </w:p>
        </w:tc>
        <w:tc>
          <w:tcPr/>
          <w:p>
            <w:pPr>
              <w:pStyle w:val="Compact"/>
              <w:jc w:val="left"/>
            </w:pPr>
            <w:r>
              <w:t xml:space="preserve">30,600.00</w:t>
            </w:r>
          </w:p>
        </w:tc>
      </w:tr>
      <w:tr>
        <w:tc>
          <w:tcPr/>
          <w:p>
            <w:pPr>
              <w:pStyle w:val="Compact"/>
              <w:jc w:val="left"/>
            </w:pPr>
            <w:r>
              <w:t xml:space="preserve">3</w:t>
            </w:r>
          </w:p>
        </w:tc>
        <w:tc>
          <w:tcPr/>
          <w:p>
            <w:pPr>
              <w:pStyle w:val="Compact"/>
              <w:jc w:val="left"/>
            </w:pPr>
            <w:r>
              <w:t xml:space="preserve">Market Risk Analysis and Currency Exposure Hedging Strategy. The Financial Analyst evaluated the company's exposure to Sudanese Pound (SDG) fluctuations against USD and EUR, developed a multi-layered hedging framework, and submitted a risk mitigation report to the board of directors in Khartoum.</w:t>
            </w:r>
          </w:p>
        </w:tc>
        <w:tc>
          <w:tcPr/>
          <w:p>
            <w:pPr>
              <w:pStyle w:val="Compact"/>
              <w:jc w:val="left"/>
            </w:pPr>
            <w:r>
              <w:t xml:space="preserve">Apr – May 2025</w:t>
            </w:r>
          </w:p>
        </w:tc>
        <w:tc>
          <w:tcPr/>
          <w:p>
            <w:pPr>
              <w:pStyle w:val="Compact"/>
              <w:jc w:val="left"/>
            </w:pPr>
            <w:r>
              <w:t xml:space="preserve">850.00</w:t>
            </w:r>
          </w:p>
        </w:tc>
        <w:tc>
          <w:tcPr/>
          <w:p>
            <w:pPr>
              <w:pStyle w:val="Compact"/>
              <w:jc w:val="left"/>
            </w:pPr>
            <w:r>
              <w:t xml:space="preserve">40</w:t>
            </w:r>
          </w:p>
        </w:tc>
        <w:tc>
          <w:tcPr/>
          <w:p>
            <w:pPr>
              <w:pStyle w:val="Compact"/>
              <w:jc w:val="left"/>
            </w:pPr>
            <w:r>
              <w:t xml:space="preserve">34,000.00</w:t>
            </w:r>
          </w:p>
        </w:tc>
      </w:tr>
      <w:tr>
        <w:tc>
          <w:tcPr/>
          <w:p>
            <w:pPr>
              <w:pStyle w:val="Compact"/>
              <w:jc w:val="left"/>
            </w:pPr>
            <w:r>
              <w:t xml:space="preserve">4</w:t>
            </w:r>
          </w:p>
        </w:tc>
        <w:tc>
          <w:tcPr/>
          <w:p>
            <w:pPr>
              <w:pStyle w:val="Compact"/>
              <w:jc w:val="left"/>
            </w:pPr>
            <w:r>
              <w:t xml:space="preserve">Annual Budget Forecasting and Variance Analysis. The Financial Analyst prepared the FY2026 operating budget, incorporating inflation adjustments specific to the Sudan Khartoum economic environment, and conducted month-over-month variance analysis for all operational divisions.</w:t>
            </w:r>
          </w:p>
        </w:tc>
        <w:tc>
          <w:tcPr/>
          <w:p>
            <w:pPr>
              <w:pStyle w:val="Compact"/>
              <w:jc w:val="left"/>
            </w:pPr>
            <w:r>
              <w:t xml:space="preserve">May – Jun 2025</w:t>
            </w:r>
          </w:p>
        </w:tc>
        <w:tc>
          <w:tcPr/>
          <w:p>
            <w:pPr>
              <w:pStyle w:val="Compact"/>
              <w:jc w:val="left"/>
            </w:pPr>
            <w:r>
              <w:t xml:space="preserve">850.00</w:t>
            </w:r>
          </w:p>
        </w:tc>
        <w:tc>
          <w:tcPr/>
          <w:p>
            <w:pPr>
              <w:pStyle w:val="Compact"/>
              <w:jc w:val="left"/>
            </w:pPr>
            <w:r>
              <w:t xml:space="preserve">52</w:t>
            </w:r>
          </w:p>
        </w:tc>
        <w:tc>
          <w:tcPr/>
          <w:p>
            <w:pPr>
              <w:pStyle w:val="Compact"/>
              <w:jc w:val="left"/>
            </w:pPr>
            <w:r>
              <w:t xml:space="preserve">44,200.00</w:t>
            </w:r>
          </w:p>
        </w:tc>
      </w:tr>
      <w:tr>
        <w:tc>
          <w:tcPr/>
          <w:p>
            <w:pPr>
              <w:pStyle w:val="Compact"/>
              <w:jc w:val="left"/>
            </w:pPr>
            <w:r>
              <w:t xml:space="preserve">5</w:t>
            </w:r>
          </w:p>
        </w:tc>
        <w:tc>
          <w:tcPr/>
          <w:p>
            <w:pPr>
              <w:pStyle w:val="Compact"/>
              <w:jc w:val="left"/>
            </w:pPr>
            <w:r>
              <w:t xml:space="preserve">Investment Feasibility Study for New Manufacturing Facility in Khartoum. The Financial Analyst prepared a detailed NPV and IRR analysis, sensitivity modeling, and payback period calculations for the proposed 12,000 sqm industrial plant, including regulatory compliance review with the Sudanese Ministry of Finance.</w:t>
            </w:r>
          </w:p>
        </w:tc>
        <w:tc>
          <w:tcPr/>
          <w:p>
            <w:pPr>
              <w:pStyle w:val="Compact"/>
              <w:jc w:val="left"/>
            </w:pPr>
            <w:r>
              <w:t xml:space="preserve">Jun 2025</w:t>
            </w:r>
          </w:p>
        </w:tc>
        <w:tc>
          <w:tcPr/>
          <w:p>
            <w:pPr>
              <w:pStyle w:val="Compact"/>
              <w:jc w:val="left"/>
            </w:pPr>
            <w:r>
              <w:t xml:space="preserve">850.00</w:t>
            </w:r>
          </w:p>
        </w:tc>
        <w:tc>
          <w:tcPr/>
          <w:p>
            <w:pPr>
              <w:pStyle w:val="Compact"/>
              <w:jc w:val="left"/>
            </w:pPr>
            <w:r>
              <w:t xml:space="preserve">30</w:t>
            </w:r>
          </w:p>
        </w:tc>
        <w:tc>
          <w:tcPr/>
          <w:p>
            <w:pPr>
              <w:pStyle w:val="Compact"/>
              <w:jc w:val="left"/>
            </w:pPr>
            <w:r>
              <w:t xml:space="preserve">25,500.00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175,100.00 SDG</w:t>
            </w:r>
          </w:p>
        </w:tc>
      </w:tr>
      <w:tr>
        <w:tc>
          <w:tcPr/>
          <w:p>
            <w:pPr>
              <w:pStyle w:val="Compact"/>
              <w:jc w:val="left"/>
            </w:pPr>
            <w:r>
              <w:t xml:space="preserve">VAT (10%)</w:t>
            </w:r>
          </w:p>
        </w:tc>
        <w:tc>
          <w:tcPr/>
          <w:p>
            <w:pPr>
              <w:pStyle w:val="Compact"/>
              <w:jc w:val="left"/>
            </w:pPr>
            <w:r>
              <w:t xml:space="preserve">17,510.00 SDG</w:t>
            </w:r>
          </w:p>
        </w:tc>
      </w:tr>
      <w:tr>
        <w:tc>
          <w:tcPr/>
          <w:p>
            <w:pPr>
              <w:pStyle w:val="Compact"/>
              <w:jc w:val="left"/>
            </w:pPr>
            <w:r>
              <w:t xml:space="preserve">Service Surcharge (5%)</w:t>
            </w:r>
          </w:p>
        </w:tc>
        <w:tc>
          <w:tcPr/>
          <w:p>
            <w:pPr>
              <w:pStyle w:val="Compact"/>
              <w:jc w:val="left"/>
            </w:pPr>
            <w:r>
              <w:t xml:space="preserve">8,755.00 SDG</w:t>
            </w:r>
          </w:p>
        </w:tc>
      </w:tr>
      <w:tr>
        <w:tc>
          <w:tcPr/>
          <w:p>
            <w:pPr>
              <w:pStyle w:val="Compact"/>
              <w:jc w:val="left"/>
            </w:pPr>
            <w:r>
              <w:t xml:space="preserve">Grand Total Due</w:t>
            </w:r>
          </w:p>
        </w:tc>
        <w:tc>
          <w:tcPr/>
          <w:p>
            <w:pPr>
              <w:pStyle w:val="Compact"/>
              <w:jc w:val="left"/>
            </w:pPr>
            <w:r>
              <w:t xml:space="preserve">201,365.00 SDG</w:t>
            </w:r>
          </w:p>
        </w:tc>
      </w:tr>
    </w:tbl>
    <w:bookmarkStart w:id="24" w:name="payment-terms-and-conditions"/>
    <w:p>
      <w:pPr>
        <w:pStyle w:val="Heading3"/>
      </w:pPr>
      <w:r>
        <w:t xml:space="preserve">Payment Terms and Conditions</w:t>
      </w:r>
    </w:p>
    <w:p>
      <w:pPr>
        <w:pStyle w:val="FirstParagraph"/>
      </w:pPr>
      <w:r>
        <w:t xml:space="preserve">This Invoice is payable within fourteen (14) calendar days from the Invoice date of 15 June 2025. Payment shall be made in Sudanese Pounds (SDG) via bank transfer to Nile Financial Advisory Group, Bank of Khartoum, Account No: 0045-8821-3367-001, SWIFT: BKRTSDKH. Late payments shall accrue interest at 2% per month as stipulated under Sudanese commercial law. This Invoice constitutes a binding financial obligation and must be settled in full by the due date of 30 June 2025. All services rendered by the Financial Analyst are subject to the Master Service Agreement dated 01 January 2025, Reference No: MSA-NFA-2025-001.</w:t>
      </w:r>
    </w:p>
    <w:bookmarkEnd w:id="24"/>
    <w:bookmarkStart w:id="25" w:name="additional-notes-and-remarks"/>
    <w:p>
      <w:pPr>
        <w:pStyle w:val="Heading3"/>
      </w:pPr>
      <w:r>
        <w:t xml:space="preserve">Additional Notes and Remarks</w:t>
      </w:r>
    </w:p>
    <w:p>
      <w:pPr>
        <w:pStyle w:val="FirstParagraph"/>
      </w:pPr>
      <w:r>
        <w:t xml:space="preserve">1. All Financial Analyst deliverables referenced in this Invoice have been reviewed and approved by the client's CFO, Mr. Ibrahim El-Tahir, on 12 June 2025, as documented in the signed acceptance certificates attached to this Invoice.</w:t>
      </w:r>
    </w:p>
    <w:p>
      <w:pPr>
        <w:pStyle w:val="BodyText"/>
      </w:pPr>
      <w:r>
        <w:t xml:space="preserve">2. The Financial Analyst services were performed in accordance with the International Financial Reporting Standards (IFRS) and the Sudanese Accounting Standards Board (SASB) guidelines applicable in Sudan Khartoum.</w:t>
      </w:r>
    </w:p>
    <w:p>
      <w:pPr>
        <w:pStyle w:val="BodyText"/>
      </w:pPr>
      <w:r>
        <w:t xml:space="preserve">3. This Invoice covers professional services only. Travel expenses, accommodation, and per diem charges incurred during on-site visits to the client's facilities in Khartoum are itemized separately under Invoice No: NFA-2025-00348.</w:t>
      </w:r>
    </w:p>
    <w:p>
      <w:pPr>
        <w:pStyle w:val="BodyText"/>
      </w:pPr>
      <w:r>
        <w:t xml:space="preserve">4. Please retain this Invoice for your corporate tax filing with the National Revenue Authority (NRA) of Sudan. The VAT component is deductible as per Sudanese tax regulations for registered entities.</w:t>
      </w:r>
    </w:p>
    <w:p>
      <w:pPr>
        <w:pStyle w:val="BodyText"/>
      </w:pPr>
      <w:r>
        <w:t xml:space="preserve">5. For any disputes regarding this Invoice, both parties agree to resolve matters through arbitration in Khartoum, Sudan, in accordance with the Sudanese Arbitration Act of 2010.</w:t>
      </w:r>
    </w:p>
    <w:bookmarkEnd w:id="25"/>
    <w:p>
      <w:pPr>
        <w:pStyle w:val="BodyText"/>
      </w:pPr>
      <w:r>
        <w:rPr>
          <w:bCs/>
          <w:b/>
        </w:rPr>
        <w:t xml:space="preserve">Dr. Salma Abdelrahman Hassan</w:t>
      </w:r>
    </w:p>
    <w:p>
      <w:pPr>
        <w:pStyle w:val="BodyText"/>
      </w:pPr>
      <w:r>
        <w:t xml:space="preserve">Senior Financial Analyst</w:t>
      </w:r>
    </w:p>
    <w:p>
      <w:pPr>
        <w:pStyle w:val="BodyText"/>
      </w:pPr>
      <w:r>
        <w:t xml:space="preserve">Nile Financial Advisory Group</w:t>
      </w:r>
    </w:p>
    <w:p>
      <w:pPr>
        <w:pStyle w:val="BodyText"/>
      </w:pPr>
      <w:r>
        <w:t xml:space="preserve">Date: 15 June 2025</w:t>
      </w:r>
    </w:p>
    <w:p>
      <w:pPr>
        <w:pStyle w:val="BodyText"/>
      </w:pPr>
      <w:r>
        <w:rPr>
          <w:bCs/>
          <w:b/>
        </w:rPr>
        <w:t xml:space="preserve">Authorized Signatory</w:t>
      </w:r>
    </w:p>
    <w:p>
      <w:pPr>
        <w:pStyle w:val="BodyText"/>
      </w:pPr>
      <w:r>
        <w:t xml:space="preserve">Al-Rashid Industrial Holdings PLC</w:t>
      </w:r>
    </w:p>
    <w:p>
      <w:pPr>
        <w:pStyle w:val="BodyText"/>
      </w:pPr>
      <w:r>
        <w:t xml:space="preserve">Khartoum, Sudan</w:t>
      </w:r>
    </w:p>
    <w:p>
      <w:pPr>
        <w:pStyle w:val="BodyText"/>
      </w:pPr>
      <w:r>
        <w:t xml:space="preserve">Date: _______________</w:t>
      </w:r>
    </w:p>
    <w:p>
      <w:pPr>
        <w:pStyle w:val="BodyText"/>
      </w:pPr>
      <w:r>
        <w:rPr>
          <w:bCs/>
          <w:b/>
        </w:rPr>
        <w:t xml:space="preserve">Nile Financial Advisory Group</w:t>
      </w:r>
      <w:r>
        <w:t xml:space="preserve"> </w:t>
      </w:r>
      <w:r>
        <w:t xml:space="preserve">| Professional Financial Analyst Services | Sudan Khartoum</w:t>
      </w:r>
    </w:p>
    <w:p>
      <w:pPr>
        <w:pStyle w:val="BodyText"/>
      </w:pPr>
      <w:r>
        <w:t xml:space="preserve">Office 42, Nile Tower, El-Mahamariya Street, Khartoum, Sudan 11111</w:t>
      </w:r>
    </w:p>
    <w:p>
      <w:pPr>
        <w:pStyle w:val="BodyText"/>
      </w:pPr>
      <w:r>
        <w:t xml:space="preserve">Tel: +249-183-456-789 | Email: billing@nilefinancial.sd | Web: www.nilefinancial.sd</w:t>
      </w:r>
    </w:p>
    <w:p>
      <w:pPr>
        <w:pStyle w:val="BodyText"/>
      </w:pPr>
      <w:r>
        <w:t xml:space="preserve">CR No: SD-2019-45821 | VAT Reg: 004582100 | SFA License: SFA-2020-0089</w:t>
      </w:r>
    </w:p>
    <w:p>
      <w:pPr>
        <w:pStyle w:val="BodyText"/>
      </w:pPr>
      <w:r>
        <w:t xml:space="preserve">This is a computer-generated Invoice and does not require a physical stamp to be valid. Thank you for your business. We appreciate your continued trust in our Financial Analyst expertise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Sudan Khartoum</dc:title>
  <dc:creator/>
  <dc:language>en</dc:language>
  <cp:keywords/>
  <dcterms:created xsi:type="dcterms:W3CDTF">2026-10-10T09:12:45Z</dcterms:created>
  <dcterms:modified xsi:type="dcterms:W3CDTF">2026-10-10T09:12:45Z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