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meridian-financial-advisory-co.-ltd."/>
    <w:p>
      <w:pPr>
        <w:pStyle w:val="Heading1"/>
      </w:pPr>
      <w:r>
        <w:t xml:space="preserve">Meridian Financial Advisory Co., Ltd.</w:t>
      </w:r>
    </w:p>
    <w:p>
      <w:pPr>
        <w:pStyle w:val="FirstParagraph"/>
      </w:pPr>
      <w:r>
        <w:t xml:space="preserve">128th Floor, Sathorn Naree Tower</w:t>
      </w:r>
    </w:p>
    <w:p>
      <w:pPr>
        <w:pStyle w:val="BodyText"/>
      </w:pPr>
      <w:r>
        <w:t xml:space="preserve">99/99 Sathorn Naree Road, Lumphini, Pathum Wan</w:t>
      </w:r>
    </w:p>
    <w:p>
      <w:pPr>
        <w:pStyle w:val="BodyText"/>
      </w:pPr>
      <w:r>
        <w:t xml:space="preserve">Bangkok 10330, Thailand</w:t>
      </w:r>
    </w:p>
    <w:p>
      <w:pPr>
        <w:pStyle w:val="BodyText"/>
      </w:pPr>
      <w:r>
        <w:t xml:space="preserve">Tel: +66 (0) 2 888 4521 | Email: billing@meridianfa.co.th</w:t>
      </w:r>
    </w:p>
    <w:p>
      <w:pPr>
        <w:pStyle w:val="BodyText"/>
      </w:pPr>
      <w:r>
        <w:t xml:space="preserve">Tax ID (VAT): 0105556789012</w:t>
      </w:r>
    </w:p>
    <w:bookmarkEnd w:id="20"/>
    <w:bookmarkStart w:id="21" w:name="invoice"/>
    <w:p>
      <w:pPr>
        <w:pStyle w:val="Heading2"/>
      </w:pPr>
      <w:r>
        <w:t xml:space="preserve">INVOICE</w:t>
      </w:r>
    </w:p>
    <w:p>
      <w:pPr>
        <w:pStyle w:val="FirstParagraph"/>
      </w:pPr>
      <w:r>
        <w:t xml:space="preserve">Invoice No: MFA-2025-BKK-00472</w:t>
      </w:r>
    </w:p>
    <w:p>
      <w:pPr>
        <w:pStyle w:val="BodyText"/>
      </w:pPr>
      <w:r>
        <w:t xml:space="preserve">Date Issued: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Siam Pacific Holdings Public Company Limited</w:t>
      </w:r>
    </w:p>
    <w:p>
      <w:pPr>
        <w:pStyle w:val="BodyText"/>
      </w:pPr>
      <w:r>
        <w:rPr>
          <w:bCs/>
          <w:b/>
        </w:rPr>
        <w:t xml:space="preserve">Address:</w:t>
      </w:r>
      <w:r>
        <w:t xml:space="preserve"> </w:t>
      </w:r>
      <w:r>
        <w:t xml:space="preserve">210 Ratchadamri Road, Lumphini, Pathum Wan</w:t>
      </w:r>
    </w:p>
    <w:p>
      <w:pPr>
        <w:pStyle w:val="BodyText"/>
      </w:pPr>
      <w:r>
        <w:rPr>
          <w:bCs/>
          <w:b/>
        </w:rPr>
        <w:t xml:space="preserve">Bangkok 10330, Thailand</w:t>
      </w:r>
    </w:p>
    <w:p>
      <w:pPr>
        <w:pStyle w:val="BodyText"/>
      </w:pPr>
      <w:r>
        <w:rPr>
          <w:bCs/>
          <w:b/>
        </w:rPr>
        <w:t xml:space="preserve">Contact:</w:t>
      </w:r>
      <w:r>
        <w:t xml:space="preserve"> </w:t>
      </w:r>
      <w:r>
        <w:t xml:space="preserve">Mr. Anan Chaiyaporn, CFO</w:t>
      </w:r>
    </w:p>
    <w:p>
      <w:pPr>
        <w:pStyle w:val="BodyText"/>
      </w:pPr>
      <w:r>
        <w:rPr>
          <w:bCs/>
          <w:b/>
        </w:rPr>
        <w:t xml:space="preserve">Email:</w:t>
      </w:r>
      <w:r>
        <w:t xml:space="preserve"> </w:t>
      </w:r>
      <w:r>
        <w:t xml:space="preserve">a.chaiyaporn@siampacific.co.th</w:t>
      </w:r>
    </w:p>
    <w:p>
      <w:pPr>
        <w:pStyle w:val="BodyText"/>
      </w:pPr>
      <w:r>
        <w:rPr>
          <w:bCs/>
          <w:b/>
        </w:rPr>
        <w:t xml:space="preserve">Tax ID:</w:t>
      </w:r>
      <w:r>
        <w:t xml:space="preserve"> </w:t>
      </w:r>
      <w:r>
        <w:t xml:space="preserve">0105551234567</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Financial Analyst Consulting</w:t>
      </w:r>
    </w:p>
    <w:p>
      <w:pPr>
        <w:pStyle w:val="BodyText"/>
      </w:pPr>
      <w:r>
        <w:rPr>
          <w:bCs/>
          <w:b/>
        </w:rPr>
        <w:t xml:space="preserve">Lead Analyst:</w:t>
      </w:r>
      <w:r>
        <w:t xml:space="preserve"> </w:t>
      </w:r>
      <w:r>
        <w:t xml:space="preserve">Dr. Nattapong Sirivadhanakul, CFA</w:t>
      </w:r>
    </w:p>
    <w:p>
      <w:pPr>
        <w:pStyle w:val="BodyText"/>
      </w:pPr>
      <w:r>
        <w:rPr>
          <w:bCs/>
          <w:b/>
        </w:rPr>
        <w:t xml:space="preserve">Project Period:</w:t>
      </w:r>
      <w:r>
        <w:t xml:space="preserve"> </w:t>
      </w:r>
      <w:r>
        <w:t xml:space="preserve">1 March 2025 – 30 May 2025</w:t>
      </w:r>
    </w:p>
    <w:p>
      <w:pPr>
        <w:pStyle w:val="BodyText"/>
      </w:pPr>
      <w:r>
        <w:rPr>
          <w:bCs/>
          <w:b/>
        </w:rPr>
        <w:t xml:space="preserve">Location:</w:t>
      </w:r>
      <w:r>
        <w:t xml:space="preserve"> </w:t>
      </w:r>
      <w:r>
        <w:t xml:space="preserve">Bangkok, Thailand (On-site &amp; Remote)</w:t>
      </w:r>
    </w:p>
    <w:p>
      <w:pPr>
        <w:pStyle w:val="BodyText"/>
      </w:pPr>
      <w:r>
        <w:rPr>
          <w:bCs/>
          <w:b/>
        </w:rPr>
        <w:t xml:space="preserve">Contract Ref:</w:t>
      </w:r>
      <w:r>
        <w:t xml:space="preserve"> </w:t>
      </w:r>
      <w:r>
        <w:t xml:space="preserve">SPA-MFA-2025-0091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Rate (THB)</w:t>
            </w:r>
          </w:p>
        </w:tc>
        <w:tc>
          <w:tcPr/>
          <w:p>
            <w:pPr>
              <w:pStyle w:val="Compact"/>
              <w:jc w:val="left"/>
            </w:pPr>
            <w:r>
              <w:t xml:space="preserve">Hours</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Comprehensive Financial Statement Analysis and Ratio Assessment for Q1 2025 – Bangkok Operations Division</w:t>
            </w:r>
          </w:p>
        </w:tc>
        <w:tc>
          <w:tcPr/>
          <w:p>
            <w:pPr>
              <w:pStyle w:val="Compact"/>
              <w:jc w:val="left"/>
            </w:pPr>
            <w:r>
              <w:t xml:space="preserve">2,500</w:t>
            </w:r>
          </w:p>
        </w:tc>
        <w:tc>
          <w:tcPr/>
          <w:p>
            <w:pPr>
              <w:pStyle w:val="Compact"/>
              <w:jc w:val="left"/>
            </w:pPr>
            <w:r>
              <w:t xml:space="preserve">48</w:t>
            </w:r>
          </w:p>
        </w:tc>
        <w:tc>
          <w:tcPr/>
          <w:p>
            <w:pPr>
              <w:pStyle w:val="Compact"/>
              <w:jc w:val="left"/>
            </w:pPr>
            <w:r>
              <w:t xml:space="preserve">120,000.00</w:t>
            </w:r>
          </w:p>
        </w:tc>
      </w:tr>
      <w:tr>
        <w:tc>
          <w:tcPr/>
          <w:p>
            <w:pPr>
              <w:pStyle w:val="Compact"/>
              <w:jc w:val="left"/>
            </w:pPr>
            <w:r>
              <w:t xml:space="preserve">2</w:t>
            </w:r>
          </w:p>
        </w:tc>
        <w:tc>
          <w:tcPr/>
          <w:p>
            <w:pPr>
              <w:pStyle w:val="Compact"/>
              <w:jc w:val="left"/>
            </w:pPr>
            <w:r>
              <w:t xml:space="preserve">Capital Structure Optimization and Debt-to-Equity Modeling for Thailand Bangkok Regional Expansion</w:t>
            </w:r>
          </w:p>
        </w:tc>
        <w:tc>
          <w:tcPr/>
          <w:p>
            <w:pPr>
              <w:pStyle w:val="Compact"/>
              <w:jc w:val="left"/>
            </w:pPr>
            <w:r>
              <w:t xml:space="preserve">3,200</w:t>
            </w:r>
          </w:p>
        </w:tc>
        <w:tc>
          <w:tcPr/>
          <w:p>
            <w:pPr>
              <w:pStyle w:val="Compact"/>
              <w:jc w:val="left"/>
            </w:pPr>
            <w:r>
              <w:t xml:space="preserve">36</w:t>
            </w:r>
          </w:p>
        </w:tc>
        <w:tc>
          <w:tcPr/>
          <w:p>
            <w:pPr>
              <w:pStyle w:val="Compact"/>
              <w:jc w:val="left"/>
            </w:pPr>
            <w:r>
              <w:t xml:space="preserve">115,200.00</w:t>
            </w:r>
          </w:p>
        </w:tc>
      </w:tr>
      <w:tr>
        <w:tc>
          <w:tcPr/>
          <w:p>
            <w:pPr>
              <w:pStyle w:val="Compact"/>
              <w:jc w:val="left"/>
            </w:pPr>
            <w:r>
              <w:t xml:space="preserve">3</w:t>
            </w:r>
          </w:p>
        </w:tc>
        <w:tc>
          <w:tcPr/>
          <w:p>
            <w:pPr>
              <w:pStyle w:val="Compact"/>
              <w:jc w:val="left"/>
            </w:pPr>
            <w:r>
              <w:t xml:space="preserve">Revenue Forecasting and Scenario Planning (Base, Upside, Downside) – 3-Year Projection for Bangkok Market</w:t>
            </w:r>
          </w:p>
        </w:tc>
        <w:tc>
          <w:tcPr/>
          <w:p>
            <w:pPr>
              <w:pStyle w:val="Compact"/>
              <w:jc w:val="left"/>
            </w:pPr>
            <w:r>
              <w:t xml:space="preserve">2,800</w:t>
            </w:r>
          </w:p>
        </w:tc>
        <w:tc>
          <w:tcPr/>
          <w:p>
            <w:pPr>
              <w:pStyle w:val="Compact"/>
              <w:jc w:val="left"/>
            </w:pPr>
            <w:r>
              <w:t xml:space="preserve">42</w:t>
            </w:r>
          </w:p>
        </w:tc>
        <w:tc>
          <w:tcPr/>
          <w:p>
            <w:pPr>
              <w:pStyle w:val="Compact"/>
              <w:jc w:val="left"/>
            </w:pPr>
            <w:r>
              <w:t xml:space="preserve">117,600.00</w:t>
            </w:r>
          </w:p>
        </w:tc>
      </w:tr>
      <w:tr>
        <w:tc>
          <w:tcPr/>
          <w:p>
            <w:pPr>
              <w:pStyle w:val="Compact"/>
              <w:jc w:val="left"/>
            </w:pPr>
            <w:r>
              <w:t xml:space="preserve">4</w:t>
            </w:r>
          </w:p>
        </w:tc>
        <w:tc>
          <w:tcPr/>
          <w:p>
            <w:pPr>
              <w:pStyle w:val="Compact"/>
              <w:jc w:val="left"/>
            </w:pPr>
            <w:r>
              <w:t xml:space="preserve">Valuation Analysis and Discounted Cash Flow (DCF) Modeling for Proposed Acquisition in Central Thailand</w:t>
            </w:r>
          </w:p>
        </w:tc>
        <w:tc>
          <w:tcPr/>
          <w:p>
            <w:pPr>
              <w:pStyle w:val="Compact"/>
              <w:jc w:val="left"/>
            </w:pPr>
            <w:r>
              <w:t xml:space="preserve">3,500</w:t>
            </w:r>
          </w:p>
        </w:tc>
        <w:tc>
          <w:tcPr/>
          <w:p>
            <w:pPr>
              <w:pStyle w:val="Compact"/>
              <w:jc w:val="left"/>
            </w:pPr>
            <w:r>
              <w:t xml:space="preserve">30</w:t>
            </w:r>
          </w:p>
        </w:tc>
        <w:tc>
          <w:tcPr/>
          <w:p>
            <w:pPr>
              <w:pStyle w:val="Compact"/>
              <w:jc w:val="left"/>
            </w:pPr>
            <w:r>
              <w:t xml:space="preserve">105,000.00</w:t>
            </w:r>
          </w:p>
        </w:tc>
      </w:tr>
      <w:tr>
        <w:tc>
          <w:tcPr/>
          <w:p>
            <w:pPr>
              <w:pStyle w:val="Compact"/>
              <w:jc w:val="left"/>
            </w:pPr>
            <w:r>
              <w:t xml:space="preserve">5</w:t>
            </w:r>
          </w:p>
        </w:tc>
        <w:tc>
          <w:tcPr/>
          <w:p>
            <w:pPr>
              <w:pStyle w:val="Compact"/>
              <w:jc w:val="left"/>
            </w:pPr>
            <w:r>
              <w:t xml:space="preserve">Regulatory Compliance Review – SEC Thailand and Thai Financial Services Regulatory Authority (SEC) Filing Support</w:t>
            </w:r>
          </w:p>
        </w:tc>
        <w:tc>
          <w:tcPr/>
          <w:p>
            <w:pPr>
              <w:pStyle w:val="Compact"/>
              <w:jc w:val="left"/>
            </w:pPr>
            <w:r>
              <w:t xml:space="preserve">2,200</w:t>
            </w:r>
          </w:p>
        </w:tc>
        <w:tc>
          <w:tcPr/>
          <w:p>
            <w:pPr>
              <w:pStyle w:val="Compact"/>
              <w:jc w:val="left"/>
            </w:pPr>
            <w:r>
              <w:t xml:space="preserve">24</w:t>
            </w:r>
          </w:p>
        </w:tc>
        <w:tc>
          <w:tcPr/>
          <w:p>
            <w:pPr>
              <w:pStyle w:val="Compact"/>
              <w:jc w:val="left"/>
            </w:pPr>
            <w:r>
              <w:t xml:space="preserve">52,800.00</w:t>
            </w:r>
          </w:p>
        </w:tc>
      </w:tr>
      <w:tr>
        <w:tc>
          <w:tcPr/>
          <w:p>
            <w:pPr>
              <w:pStyle w:val="Compact"/>
              <w:jc w:val="left"/>
            </w:pPr>
            <w:r>
              <w:t xml:space="preserve">6</w:t>
            </w:r>
          </w:p>
        </w:tc>
        <w:tc>
          <w:tcPr/>
          <w:p>
            <w:pPr>
              <w:pStyle w:val="Compact"/>
              <w:jc w:val="left"/>
            </w:pPr>
            <w:r>
              <w:t xml:space="preserve">Board Presentation Preparation and Executive Briefing on Financial Analyst Findings – Bangkok HQ</w:t>
            </w:r>
          </w:p>
        </w:tc>
        <w:tc>
          <w:tcPr/>
          <w:p>
            <w:pPr>
              <w:pStyle w:val="Compact"/>
              <w:jc w:val="left"/>
            </w:pPr>
            <w:r>
              <w:t xml:space="preserve">4,000</w:t>
            </w:r>
          </w:p>
        </w:tc>
        <w:tc>
          <w:tcPr/>
          <w:p>
            <w:pPr>
              <w:pStyle w:val="Compact"/>
              <w:jc w:val="left"/>
            </w:pPr>
            <w:r>
              <w:t xml:space="preserve">12</w:t>
            </w:r>
          </w:p>
        </w:tc>
        <w:tc>
          <w:tcPr/>
          <w:p>
            <w:pPr>
              <w:pStyle w:val="Compact"/>
              <w:jc w:val="left"/>
            </w:pPr>
            <w:r>
              <w:t xml:space="preserve">48,000.00</w:t>
            </w:r>
          </w:p>
        </w:tc>
      </w:tr>
      <w:tr>
        <w:tc>
          <w:tcPr/>
          <w:p>
            <w:pPr>
              <w:pStyle w:val="Compact"/>
              <w:jc w:val="left"/>
            </w:pPr>
            <w:r>
              <w:t xml:space="preserve">7</w:t>
            </w:r>
          </w:p>
        </w:tc>
        <w:tc>
          <w:tcPr/>
          <w:p>
            <w:pPr>
              <w:pStyle w:val="Compact"/>
              <w:jc w:val="left"/>
            </w:pPr>
            <w:r>
              <w:t xml:space="preserve">Ongoing Advisory and Q&amp;A Support for Financial Analyst Team – Bangkok Office (Monthly Retainer)</w:t>
            </w:r>
          </w:p>
        </w:tc>
        <w:tc>
          <w:tcPr/>
          <w:p>
            <w:pPr>
              <w:pStyle w:val="Compact"/>
              <w:jc w:val="left"/>
            </w:pPr>
            <w:r>
              <w:t xml:space="preserve">15,000</w:t>
            </w:r>
          </w:p>
        </w:tc>
        <w:tc>
          <w:tcPr/>
          <w:p>
            <w:pPr>
              <w:pStyle w:val="Compact"/>
              <w:jc w:val="left"/>
            </w:pPr>
            <w:r>
              <w:t xml:space="preserve">3</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603,600.00 THB</w:t>
            </w:r>
          </w:p>
        </w:tc>
      </w:tr>
      <w:tr>
        <w:tc>
          <w:tcPr/>
          <w:p>
            <w:pPr>
              <w:pStyle w:val="Compact"/>
              <w:jc w:val="left"/>
            </w:pPr>
            <w:r>
              <w:t xml:space="preserve">VAT (7% – Thailand)</w:t>
            </w:r>
          </w:p>
        </w:tc>
        <w:tc>
          <w:tcPr/>
          <w:p>
            <w:pPr>
              <w:pStyle w:val="Compact"/>
              <w:jc w:val="left"/>
            </w:pPr>
            <w:r>
              <w:t xml:space="preserve">42,252.00 THB</w:t>
            </w:r>
          </w:p>
        </w:tc>
      </w:tr>
      <w:tr>
        <w:tc>
          <w:tcPr/>
          <w:p>
            <w:pPr>
              <w:pStyle w:val="Compact"/>
              <w:jc w:val="left"/>
            </w:pPr>
            <w:r>
              <w:t xml:space="preserve">Withholding Tax (1.5% – Thailand)</w:t>
            </w:r>
          </w:p>
        </w:tc>
        <w:tc>
          <w:tcPr/>
          <w:p>
            <w:pPr>
              <w:pStyle w:val="Compact"/>
              <w:jc w:val="left"/>
            </w:pPr>
            <w:r>
              <w:t xml:space="preserve">(9,054.00) THB</w:t>
            </w:r>
          </w:p>
        </w:tc>
      </w:tr>
      <w:tr>
        <w:tc>
          <w:tcPr/>
          <w:p>
            <w:pPr>
              <w:pStyle w:val="Compact"/>
              <w:jc w:val="left"/>
            </w:pPr>
            <w:r>
              <w:t xml:space="preserve">NET AMOUNT DUE</w:t>
            </w:r>
          </w:p>
        </w:tc>
        <w:tc>
          <w:tcPr/>
          <w:p>
            <w:pPr>
              <w:pStyle w:val="Compact"/>
              <w:jc w:val="left"/>
            </w:pPr>
            <w:r>
              <w:t xml:space="preserve">636,798.00 THB</w:t>
            </w:r>
          </w:p>
        </w:tc>
      </w:tr>
    </w:tbl>
    <w:bookmarkStart w:id="24" w:name="payment-instructions-thailand-bangkok"/>
    <w:p>
      <w:pPr>
        <w:pStyle w:val="Heading3"/>
      </w:pPr>
      <w:r>
        <w:t xml:space="preserve">Payment Instructions – Thailand Bangkok</w:t>
      </w:r>
    </w:p>
    <w:p>
      <w:pPr>
        <w:pStyle w:val="FirstParagraph"/>
      </w:pPr>
      <w:r>
        <w:rPr>
          <w:bCs/>
          <w:b/>
        </w:rPr>
        <w:t xml:space="preserve">Bank:</w:t>
      </w:r>
      <w:r>
        <w:t xml:space="preserve"> </w:t>
      </w:r>
      <w:r>
        <w:t xml:space="preserve">Siam Commercial Bank (SCB), Sathorn Naree Branch, Bangkok</w:t>
      </w:r>
    </w:p>
    <w:p>
      <w:pPr>
        <w:pStyle w:val="BodyText"/>
      </w:pPr>
      <w:r>
        <w:rPr>
          <w:bCs/>
          <w:b/>
        </w:rPr>
        <w:t xml:space="preserve">Account Name:</w:t>
      </w:r>
      <w:r>
        <w:t xml:space="preserve"> </w:t>
      </w:r>
      <w:r>
        <w:t xml:space="preserve">Meridian Financial Advisory Co., Ltd.</w:t>
      </w:r>
    </w:p>
    <w:p>
      <w:pPr>
        <w:pStyle w:val="BodyText"/>
      </w:pPr>
      <w:r>
        <w:rPr>
          <w:bCs/>
          <w:b/>
        </w:rPr>
        <w:t xml:space="preserve">Account No.:</w:t>
      </w:r>
      <w:r>
        <w:t xml:space="preserve"> </w:t>
      </w:r>
      <w:r>
        <w:t xml:space="preserve">012-3-45678-9</w:t>
      </w:r>
    </w:p>
    <w:p>
      <w:pPr>
        <w:pStyle w:val="BodyText"/>
      </w:pPr>
      <w:r>
        <w:rPr>
          <w:bCs/>
          <w:b/>
        </w:rPr>
        <w:t xml:space="preserve">SWIFT Code:</w:t>
      </w:r>
      <w:r>
        <w:t xml:space="preserve"> </w:t>
      </w:r>
      <w:r>
        <w:t xml:space="preserve">SIBLTHB0XXX</w:t>
      </w:r>
    </w:p>
    <w:p>
      <w:pPr>
        <w:pStyle w:val="BodyText"/>
      </w:pPr>
      <w:r>
        <w:rPr>
          <w:bCs/>
          <w:b/>
        </w:rPr>
        <w:t xml:space="preserve">Reference:</w:t>
      </w:r>
      <w:r>
        <w:t xml:space="preserve"> </w:t>
      </w:r>
      <w:r>
        <w:t xml:space="preserve">Please cite Invoice No. MFA-2025-BKK-00472 in all remittances.</w:t>
      </w:r>
    </w:p>
    <w:p>
      <w:pPr>
        <w:pStyle w:val="BodyText"/>
      </w:pPr>
      <w:r>
        <w:rPr>
          <w:bCs/>
          <w:b/>
        </w:rPr>
        <w:t xml:space="preserve">Payment Terms:</w:t>
      </w:r>
      <w:r>
        <w:t xml:space="preserve"> </w:t>
      </w:r>
      <w:r>
        <w:t xml:space="preserve">Net 30 days from the date of this Invoice. Late payments shall incur a penalty of 1.5% per month as per Thai Commercial Code provisions applicable in Bangkok.</w:t>
      </w:r>
    </w:p>
    <w:bookmarkEnd w:id="24"/>
    <w:bookmarkStart w:id="25" w:name="important-notes-regarding-this-invoice"/>
    <w:p>
      <w:pPr>
        <w:pStyle w:val="Heading3"/>
      </w:pPr>
      <w:r>
        <w:t xml:space="preserve">Important Notes Regarding This Invoice</w:t>
      </w:r>
    </w:p>
    <w:p>
      <w:pPr>
        <w:pStyle w:val="FirstParagraph"/>
      </w:pPr>
      <w:r>
        <w:t xml:space="preserve">This Invoice has been prepared in accordance with the Revenue Code of Thailand (B.E. 2564) and the Thai Accounting Standards (TAS) as enforced by the Thai Financial Reporting Standards Foundation. All Financial Analyst services rendered under this engagement were conducted in compliance with the professional standards set forth by the Thai Institute of Chartered Accountants (TICPA) and the Chartered Financial Analyst (CFA) Institute.</w:t>
      </w:r>
    </w:p>
    <w:p>
      <w:pPr>
        <w:pStyle w:val="BodyText"/>
      </w:pPr>
      <w:r>
        <w:t xml:space="preserve">The Financial Analyst team assigned to this project operated primarily from our Bangkok headquarters located in the Sathorn Naree Tower, Pathum Wan District, Bangkok, Thailand. All on-site consultations, data collection sessions, and board presentations referenced in this Invoice were conducted within the Bangkok metropolitan area unless otherwise noted in the service descriptions above.</w:t>
      </w:r>
    </w:p>
    <w:p>
      <w:pPr>
        <w:pStyle w:val="BodyText"/>
      </w:pPr>
      <w:r>
        <w:t xml:space="preserve">Should the client require any amendments, clarifications, or additional line-item breakdowns for this Invoice, please contact our billing department in Bangkok within five (5) business days of the issue date. This Invoice is valid for a period of ninety (90) days from the date of issuance. After this period, a revised Invoice may be issued to reflect any applicable changes in Thai tax regulations or exchange rate adjustments.</w:t>
      </w:r>
    </w:p>
    <w:p>
      <w:pPr>
        <w:pStyle w:val="BodyText"/>
      </w:pPr>
      <w:r>
        <w:t xml:space="preserve">This document serves as the official Invoice for all Financial Analyst professional services rendered during the project period. It is not a quotation, estimate, or pro forma document. The amounts stated herein are final and binding upon both parties as per the executed service agreement referenced above.</w:t>
      </w:r>
    </w:p>
    <w:bookmarkEnd w:id="25"/>
    <w:p>
      <w:pPr>
        <w:pStyle w:val="BodyText"/>
      </w:pPr>
      <w:r>
        <w:rPr>
          <w:bCs/>
          <w:b/>
        </w:rPr>
        <w:t xml:space="preserve">Meridian Financial Advisory Co., Ltd.</w:t>
      </w:r>
      <w:r>
        <w:t xml:space="preserve"> </w:t>
      </w:r>
      <w:r>
        <w:t xml:space="preserve">| Registered in Thailand | Company Registration No. 0105556789012</w:t>
      </w:r>
    </w:p>
    <w:p>
      <w:pPr>
        <w:pStyle w:val="BodyText"/>
      </w:pPr>
      <w:r>
        <w:t xml:space="preserve">Head Office: 128th Floor, Sathorn Naree Tower, 99/99 Sathorn Naree Road, Lumphini, Pathum Wan, Bangkok 10330, Thailand</w:t>
      </w:r>
    </w:p>
    <w:p>
      <w:pPr>
        <w:pStyle w:val="BodyText"/>
      </w:pPr>
      <w:r>
        <w:t xml:space="preserve">This Invoice was generated electronically and is valid without a physical signature in accordance with the Electronic Transactions Act B.E. 2544 (2001) of Thailand.</w:t>
      </w:r>
    </w:p>
    <w:p>
      <w:pPr>
        <w:pStyle w:val="BodyText"/>
      </w:pPr>
      <w:r>
        <w:t xml:space="preserve">For queries regarding this Invoice, please contact: billing@meridianfa.co.th | +66 (0) 2 888 4521 ext. 204 |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Thailand Bangkok</dc:title>
  <dc:creator/>
  <dc:language>en</dc:language>
  <cp:keywords/>
  <dcterms:created xsi:type="dcterms:W3CDTF">2026-10-10T08:37:52Z</dcterms:created>
  <dcterms:modified xsi:type="dcterms:W3CDTF">2026-10-10T08:37:52Z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