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Ankara,</w:t>
      </w:r>
      <w:r>
        <w:t xml:space="preserve"> </w:t>
      </w:r>
      <w:r>
        <w:t xml:space="preserve">Turkey</w:t>
      </w:r>
    </w:p>
    <w:bookmarkStart w:id="20" w:name="meridian-financial-advisory-group"/>
    <w:p>
      <w:pPr>
        <w:pStyle w:val="Heading1"/>
      </w:pPr>
      <w:r>
        <w:t xml:space="preserve">Meridian Financial Advisory Group</w:t>
      </w:r>
    </w:p>
    <w:p>
      <w:pPr>
        <w:pStyle w:val="FirstParagraph"/>
      </w:pPr>
      <w:r>
        <w:t xml:space="preserve">Financial Analyst &amp; Consulting Services</w:t>
      </w:r>
    </w:p>
    <w:p>
      <w:pPr>
        <w:pStyle w:val="BodyText"/>
      </w:pPr>
      <w:r>
        <w:t xml:space="preserve">Kızılay Mah. Atatürk Bulvarı No: 142/7</w:t>
      </w:r>
    </w:p>
    <w:p>
      <w:pPr>
        <w:pStyle w:val="BodyText"/>
      </w:pPr>
      <w:r>
        <w:t xml:space="preserve">Çankaya, Ankara 06690, Turkey</w:t>
      </w:r>
    </w:p>
    <w:p>
      <w:pPr>
        <w:pStyle w:val="BodyText"/>
      </w:pPr>
      <w:r>
        <w:t xml:space="preserve">Tax ID (VKN): 1234567890</w:t>
      </w:r>
    </w:p>
    <w:p>
      <w:pPr>
        <w:pStyle w:val="BodyText"/>
      </w:pPr>
      <w:r>
        <w:t xml:space="preserve">Phone: +90 312 456 7890 | Email: billing@meridianfa.com.tr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MFA-2025-00487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rPr>
          <w:bCs/>
          <w:b/>
        </w:rPr>
        <w:t xml:space="preserve">Reference:</w:t>
      </w:r>
      <w:r>
        <w:t xml:space="preserve"> </w:t>
      </w:r>
      <w:r>
        <w:t xml:space="preserve">Contract No. MFA/ANK/2025/012</w:t>
      </w:r>
    </w:p>
    <w:bookmarkEnd w:id="21"/>
    <w:bookmarkStart w:id="22" w:name="bill-to"/>
    <w:p>
      <w:pPr>
        <w:pStyle w:val="Heading3"/>
      </w:pPr>
      <w:r>
        <w:t xml:space="preserve">Bill To</w:t>
      </w:r>
    </w:p>
    <w:p>
      <w:pPr>
        <w:pStyle w:val="FirstParagraph"/>
      </w:pPr>
      <w:r>
        <w:rPr>
          <w:bCs/>
          <w:b/>
        </w:rPr>
        <w:t xml:space="preserve">Anadolu Energy Holdings A.Ş.</w:t>
      </w:r>
    </w:p>
    <w:p>
      <w:pPr>
        <w:pStyle w:val="BodyText"/>
      </w:pPr>
      <w:r>
        <w:t xml:space="preserve">Atatürk Bulvarı No: 210, Kat 12</w:t>
      </w:r>
    </w:p>
    <w:p>
      <w:pPr>
        <w:pStyle w:val="BodyText"/>
      </w:pPr>
      <w:r>
        <w:t xml:space="preserve">Çankaya, Ankara 06700, Turkey</w:t>
      </w:r>
    </w:p>
    <w:p>
      <w:pPr>
        <w:pStyle w:val="BodyText"/>
      </w:pPr>
      <w:r>
        <w:t xml:space="preserve">Tax ID (VKN): 9876543210</w:t>
      </w:r>
    </w:p>
    <w:p>
      <w:pPr>
        <w:pStyle w:val="BodyText"/>
      </w:pPr>
      <w:r>
        <w:t xml:space="preserve">Attn: Mr. Kemal Yılmaz, CFO</w:t>
      </w:r>
    </w:p>
    <w:p>
      <w:pPr>
        <w:pStyle w:val="BodyText"/>
      </w:pPr>
      <w:r>
        <w:t xml:space="preserve">Email: k.yilmaz@anadolenergy.com.tr</w:t>
      </w:r>
    </w:p>
    <w:bookmarkEnd w:id="22"/>
    <w:bookmarkStart w:id="23" w:name="prepared-by"/>
    <w:p>
      <w:pPr>
        <w:pStyle w:val="Heading3"/>
      </w:pPr>
      <w:r>
        <w:t xml:space="preserve">Prepared By</w:t>
      </w:r>
    </w:p>
    <w:p>
      <w:pPr>
        <w:pStyle w:val="FirstParagraph"/>
      </w:pPr>
      <w:r>
        <w:rPr>
          <w:bCs/>
          <w:b/>
        </w:rPr>
        <w:t xml:space="preserve">Dr. Elif Kaya, CFA</w:t>
      </w:r>
    </w:p>
    <w:p>
      <w:pPr>
        <w:pStyle w:val="BodyText"/>
      </w:pPr>
      <w:r>
        <w:t xml:space="preserve">Senior Financial Analyst</w:t>
      </w:r>
    </w:p>
    <w:p>
      <w:pPr>
        <w:pStyle w:val="BodyText"/>
      </w:pPr>
      <w:r>
        <w:t xml:space="preserve">Meridian Financial Advisory Group</w:t>
      </w:r>
    </w:p>
    <w:p>
      <w:pPr>
        <w:pStyle w:val="BodyText"/>
      </w:pPr>
      <w:r>
        <w:t xml:space="preserve">Ankara Office, Turkey</w:t>
      </w:r>
    </w:p>
    <w:p>
      <w:pPr>
        <w:pStyle w:val="BodyText"/>
      </w:pPr>
      <w:r>
        <w:t xml:space="preserve">License No: SPK-2019-4471</w:t>
      </w:r>
    </w:p>
    <w:p>
      <w:pPr>
        <w:pStyle w:val="BodyText"/>
      </w:pPr>
      <w:r>
        <w:t xml:space="preserve">Professional ID: 2025-FA-ANK-0034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Financial Analyst Services</w:t>
            </w:r>
          </w:p>
        </w:tc>
        <w:tc>
          <w:tcPr/>
          <w:p>
            <w:pPr>
              <w:pStyle w:val="Compact"/>
              <w:jc w:val="left"/>
            </w:pPr>
            <w:r>
              <w:t xml:space="preserve">Hours</w:t>
            </w:r>
          </w:p>
        </w:tc>
        <w:tc>
          <w:tcPr/>
          <w:p>
            <w:pPr>
              <w:pStyle w:val="Compact"/>
              <w:jc w:val="left"/>
            </w:pPr>
            <w:r>
              <w:t xml:space="preserve">Rate (TRY)</w:t>
            </w:r>
          </w:p>
        </w:tc>
        <w:tc>
          <w:tcPr/>
          <w:p>
            <w:pPr>
              <w:pStyle w:val="Compact"/>
              <w:jc w:val="left"/>
            </w:pPr>
            <w:r>
              <w:t xml:space="preserve">Amount (TRY)</w:t>
            </w:r>
          </w:p>
        </w:tc>
        <w:tc>
          <w:tcPr/>
          <w:p>
            <w:pPr>
              <w:pStyle w:val="Compact"/>
              <w:jc w:val="left"/>
            </w:pPr>
            <w:r>
              <w:t xml:space="preserve">Date</w:t>
            </w:r>
          </w:p>
        </w:tc>
      </w:tr>
      <w:tr>
        <w:tc>
          <w:tcPr/>
          <w:p>
            <w:pPr>
              <w:pStyle w:val="Compact"/>
              <w:jc w:val="left"/>
            </w:pPr>
            <w:r>
              <w:t xml:space="preserve">1</w:t>
            </w:r>
          </w:p>
        </w:tc>
        <w:tc>
          <w:tcPr/>
          <w:p>
            <w:pPr>
              <w:pStyle w:val="Compact"/>
              <w:jc w:val="left"/>
            </w:pPr>
            <w:r>
              <w:t xml:space="preserve">Comprehensive quarterly financial statement analysis and variance reporting for Anadolu Energy Holdings. The Financial Analyst conducted a detailed review of income statements, balance sheets, and cash flow projections for Q1 2025, identifying material deviations from budgeted figures and providing corrective recommendations to the executive board in Ankara.</w:t>
            </w:r>
          </w:p>
        </w:tc>
        <w:tc>
          <w:tcPr/>
          <w:p>
            <w:pPr>
              <w:pStyle w:val="Compact"/>
              <w:jc w:val="left"/>
            </w:pPr>
            <w:r>
              <w:t xml:space="preserve">32</w:t>
            </w:r>
          </w:p>
        </w:tc>
        <w:tc>
          <w:tcPr/>
          <w:p>
            <w:pPr>
              <w:pStyle w:val="Compact"/>
              <w:jc w:val="left"/>
            </w:pPr>
            <w:r>
              <w:t xml:space="preserve">2,800.00</w:t>
            </w:r>
          </w:p>
        </w:tc>
        <w:tc>
          <w:tcPr/>
          <w:p>
            <w:pPr>
              <w:pStyle w:val="Compact"/>
              <w:jc w:val="left"/>
            </w:pPr>
            <w:r>
              <w:t xml:space="preserve">89,600.00</w:t>
            </w:r>
          </w:p>
        </w:tc>
        <w:tc>
          <w:tcPr/>
          <w:p>
            <w:pPr>
              <w:pStyle w:val="Compact"/>
              <w:jc w:val="left"/>
            </w:pPr>
            <w:r>
              <w:t xml:space="preserve">02–06 May 2025</w:t>
            </w:r>
          </w:p>
        </w:tc>
      </w:tr>
      <w:tr>
        <w:tc>
          <w:tcPr/>
          <w:p>
            <w:pPr>
              <w:pStyle w:val="Compact"/>
              <w:jc w:val="left"/>
            </w:pPr>
            <w:r>
              <w:t xml:space="preserve">2</w:t>
            </w:r>
          </w:p>
        </w:tc>
        <w:tc>
          <w:tcPr/>
          <w:p>
            <w:pPr>
              <w:pStyle w:val="Compact"/>
              <w:jc w:val="left"/>
            </w:pPr>
            <w:r>
              <w:t xml:space="preserve">Capital structure optimization and debt-to-equity ratio modeling. The Financial Analyst prepared a multi-scenario leverage analysis incorporating Turkish Central Bank interest rate projections, local bond market yields, and foreign currency hedging costs relevant to operations in Ankara and the broader Marmara region.</w:t>
            </w:r>
          </w:p>
        </w:tc>
        <w:tc>
          <w:tcPr/>
          <w:p>
            <w:pPr>
              <w:pStyle w:val="Compact"/>
              <w:jc w:val="left"/>
            </w:pPr>
            <w:r>
              <w:t xml:space="preserve">24</w:t>
            </w:r>
          </w:p>
        </w:tc>
        <w:tc>
          <w:tcPr/>
          <w:p>
            <w:pPr>
              <w:pStyle w:val="Compact"/>
              <w:jc w:val="left"/>
            </w:pPr>
            <w:r>
              <w:t xml:space="preserve">2,800.00</w:t>
            </w:r>
          </w:p>
        </w:tc>
        <w:tc>
          <w:tcPr/>
          <w:p>
            <w:pPr>
              <w:pStyle w:val="Compact"/>
              <w:jc w:val="left"/>
            </w:pPr>
            <w:r>
              <w:t xml:space="preserve">67,200.00</w:t>
            </w:r>
          </w:p>
        </w:tc>
        <w:tc>
          <w:tcPr/>
          <w:p>
            <w:pPr>
              <w:pStyle w:val="Compact"/>
              <w:jc w:val="left"/>
            </w:pPr>
            <w:r>
              <w:t xml:space="preserve">08–12 May 2025</w:t>
            </w:r>
          </w:p>
        </w:tc>
      </w:tr>
      <w:tr>
        <w:tc>
          <w:tcPr/>
          <w:p>
            <w:pPr>
              <w:pStyle w:val="Compact"/>
              <w:jc w:val="left"/>
            </w:pPr>
            <w:r>
              <w:t xml:space="preserve">3</w:t>
            </w:r>
          </w:p>
        </w:tc>
        <w:tc>
          <w:tcPr/>
          <w:p>
            <w:pPr>
              <w:pStyle w:val="Compact"/>
              <w:jc w:val="left"/>
            </w:pPr>
            <w:r>
              <w:t xml:space="preserve">Preparation of a detailed investment feasibility study for the proposed renewable energy expansion project in the Ankara metropolitan area. The Financial Analyst performed discounted cash flow (DCF) modeling, sensitivity analysis, and risk-adjusted return calculations in compliance with SPK (Capital Markets Board of Turkey) reporting standards.</w:t>
            </w:r>
          </w:p>
        </w:tc>
        <w:tc>
          <w:tcPr/>
          <w:p>
            <w:pPr>
              <w:pStyle w:val="Compact"/>
              <w:jc w:val="left"/>
            </w:pPr>
            <w:r>
              <w:t xml:space="preserve">40</w:t>
            </w:r>
          </w:p>
        </w:tc>
        <w:tc>
          <w:tcPr/>
          <w:p>
            <w:pPr>
              <w:pStyle w:val="Compact"/>
              <w:jc w:val="left"/>
            </w:pPr>
            <w:r>
              <w:t xml:space="preserve">2,800.00</w:t>
            </w:r>
          </w:p>
        </w:tc>
        <w:tc>
          <w:tcPr/>
          <w:p>
            <w:pPr>
              <w:pStyle w:val="Compact"/>
              <w:jc w:val="left"/>
            </w:pPr>
            <w:r>
              <w:t xml:space="preserve">112,000.00</w:t>
            </w:r>
          </w:p>
        </w:tc>
        <w:tc>
          <w:tcPr/>
          <w:p>
            <w:pPr>
              <w:pStyle w:val="Compact"/>
              <w:jc w:val="left"/>
            </w:pPr>
            <w:r>
              <w:t xml:space="preserve">13–19 May 2025</w:t>
            </w:r>
          </w:p>
        </w:tc>
      </w:tr>
      <w:tr>
        <w:tc>
          <w:tcPr/>
          <w:p>
            <w:pPr>
              <w:pStyle w:val="Compact"/>
              <w:jc w:val="left"/>
            </w:pPr>
            <w:r>
              <w:t xml:space="preserve">4</w:t>
            </w:r>
          </w:p>
        </w:tc>
        <w:tc>
          <w:tcPr/>
          <w:p>
            <w:pPr>
              <w:pStyle w:val="Compact"/>
              <w:jc w:val="left"/>
            </w:pPr>
            <w:r>
              <w:t xml:space="preserve">Monthly budget-to-actual reconciliation and KPI dashboard development. The Financial Analyst designed and implemented an automated reporting framework integrating data from the client's ERP system, enabling real-time performance monitoring for the Ankara headquarters and three regional subsidiaries.</w:t>
            </w:r>
          </w:p>
        </w:tc>
        <w:tc>
          <w:tcPr/>
          <w:p>
            <w:pPr>
              <w:pStyle w:val="Compact"/>
              <w:jc w:val="left"/>
            </w:pPr>
            <w:r>
              <w:t xml:space="preserve">20</w:t>
            </w:r>
          </w:p>
        </w:tc>
        <w:tc>
          <w:tcPr/>
          <w:p>
            <w:pPr>
              <w:pStyle w:val="Compact"/>
              <w:jc w:val="left"/>
            </w:pPr>
            <w:r>
              <w:t xml:space="preserve">2,800.00</w:t>
            </w:r>
          </w:p>
        </w:tc>
        <w:tc>
          <w:tcPr/>
          <w:p>
            <w:pPr>
              <w:pStyle w:val="Compact"/>
              <w:jc w:val="left"/>
            </w:pPr>
            <w:r>
              <w:t xml:space="preserve">56,000.00</w:t>
            </w:r>
          </w:p>
        </w:tc>
        <w:tc>
          <w:tcPr/>
          <w:p>
            <w:pPr>
              <w:pStyle w:val="Compact"/>
              <w:jc w:val="left"/>
            </w:pPr>
            <w:r>
              <w:t xml:space="preserve">20–23 May 2025</w:t>
            </w:r>
          </w:p>
        </w:tc>
      </w:tr>
      <w:tr>
        <w:tc>
          <w:tcPr/>
          <w:p>
            <w:pPr>
              <w:pStyle w:val="Compact"/>
              <w:jc w:val="left"/>
            </w:pPr>
            <w:r>
              <w:t xml:space="preserve">5</w:t>
            </w:r>
          </w:p>
        </w:tc>
        <w:tc>
          <w:tcPr/>
          <w:p>
            <w:pPr>
              <w:pStyle w:val="Compact"/>
              <w:jc w:val="left"/>
            </w:pPr>
            <w:r>
              <w:t xml:space="preserve">Regulatory compliance review and tax planning consultation. The Financial Analyst assessed the client's financial reporting against the latest Turkish Commercial Code (Türk Ticaret Kanunu) amendments and provided advisory on transfer pricing documentation requirements for intercompany transactions within the Ankara corporate group.</w:t>
            </w:r>
          </w:p>
        </w:tc>
        <w:tc>
          <w:tcPr/>
          <w:p>
            <w:pPr>
              <w:pStyle w:val="Compact"/>
              <w:jc w:val="left"/>
            </w:pPr>
            <w:r>
              <w:t xml:space="preserve">16</w:t>
            </w:r>
          </w:p>
        </w:tc>
        <w:tc>
          <w:tcPr/>
          <w:p>
            <w:pPr>
              <w:pStyle w:val="Compact"/>
              <w:jc w:val="left"/>
            </w:pPr>
            <w:r>
              <w:t xml:space="preserve">2,800.00</w:t>
            </w:r>
          </w:p>
        </w:tc>
        <w:tc>
          <w:tcPr/>
          <w:p>
            <w:pPr>
              <w:pStyle w:val="Compact"/>
              <w:jc w:val="left"/>
            </w:pPr>
            <w:r>
              <w:t xml:space="preserve">44,800.00</w:t>
            </w:r>
          </w:p>
        </w:tc>
        <w:tc>
          <w:tcPr/>
          <w:p>
            <w:pPr>
              <w:pStyle w:val="Compact"/>
              <w:jc w:val="left"/>
            </w:pPr>
            <w:r>
              <w:t xml:space="preserve">26–28 May 2025</w:t>
            </w:r>
          </w:p>
        </w:tc>
      </w:tr>
      <w:tr>
        <w:tc>
          <w:tcPr/>
          <w:p>
            <w:pPr>
              <w:pStyle w:val="Compact"/>
              <w:jc w:val="left"/>
            </w:pPr>
            <w:r>
              <w:t xml:space="preserve">6</w:t>
            </w:r>
          </w:p>
        </w:tc>
        <w:tc>
          <w:tcPr/>
          <w:p>
            <w:pPr>
              <w:pStyle w:val="Compact"/>
              <w:jc w:val="left"/>
            </w:pPr>
            <w:r>
              <w:t xml:space="preserve">Executive presentation and board briefing. The Financial Analyst prepared and delivered a 45-minute strategic financial outlook presentation to the Board of Directors of Anadolu Energy Holdings at their Çankaya office in Ankara, covering liquidity positions, capital allocation priorities, and forward-looking earnings guidance for H2 2025.</w:t>
            </w:r>
          </w:p>
        </w:tc>
        <w:tc>
          <w:tcPr/>
          <w:p>
            <w:pPr>
              <w:pStyle w:val="Compact"/>
              <w:jc w:val="left"/>
            </w:pPr>
            <w:r>
              <w:t xml:space="preserve">8</w:t>
            </w:r>
          </w:p>
        </w:tc>
        <w:tc>
          <w:tcPr/>
          <w:p>
            <w:pPr>
              <w:pStyle w:val="Compact"/>
              <w:jc w:val="left"/>
            </w:pPr>
            <w:r>
              <w:t xml:space="preserve">3,200.00</w:t>
            </w:r>
          </w:p>
        </w:tc>
        <w:tc>
          <w:tcPr/>
          <w:p>
            <w:pPr>
              <w:pStyle w:val="Compact"/>
              <w:jc w:val="left"/>
            </w:pPr>
            <w:r>
              <w:t xml:space="preserve">25,600.00</w:t>
            </w:r>
          </w:p>
        </w:tc>
        <w:tc>
          <w:tcPr/>
          <w:p>
            <w:pPr>
              <w:pStyle w:val="Compact"/>
              <w:jc w:val="left"/>
            </w:pPr>
            <w:r>
              <w:t xml:space="preserve">30 May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(TRY)</w:t>
            </w:r>
          </w:p>
        </w:tc>
        <w:tc>
          <w:tcPr/>
          <w:p>
            <w:pPr>
              <w:pStyle w:val="Compact"/>
              <w:jc w:val="left"/>
            </w:pPr>
            <w:r>
              <w:t xml:space="preserve">395,200.00</w:t>
            </w:r>
          </w:p>
        </w:tc>
      </w:tr>
      <w:tr>
        <w:tc>
          <w:tcPr/>
          <w:p>
            <w:pPr>
              <w:pStyle w:val="Compact"/>
              <w:jc w:val="left"/>
            </w:pPr>
            <w:r>
              <w:t xml:space="preserve">VAT / KDV (20%)</w:t>
            </w:r>
          </w:p>
        </w:tc>
        <w:tc>
          <w:tcPr/>
          <w:p>
            <w:pPr>
              <w:pStyle w:val="Compact"/>
              <w:jc w:val="left"/>
            </w:pPr>
            <w:r>
              <w:t xml:space="preserve">79,040.00</w:t>
            </w:r>
          </w:p>
        </w:tc>
      </w:tr>
      <w:tr>
        <w:tc>
          <w:tcPr/>
          <w:p>
            <w:pPr>
              <w:pStyle w:val="Compact"/>
              <w:jc w:val="left"/>
            </w:pPr>
            <w:r>
              <w:t xml:space="preserve">Withholding Tax (15%)</w:t>
            </w:r>
          </w:p>
        </w:tc>
        <w:tc>
          <w:tcPr/>
          <w:p>
            <w:pPr>
              <w:pStyle w:val="Compact"/>
              <w:jc w:val="left"/>
            </w:pPr>
            <w:r>
              <w:t xml:space="preserve">(59,280.00)</w:t>
            </w:r>
          </w:p>
        </w:tc>
      </w:tr>
      <w:tr>
        <w:tc>
          <w:tcPr/>
          <w:p>
            <w:pPr>
              <w:pStyle w:val="Compact"/>
              <w:jc w:val="left"/>
            </w:pPr>
            <w:r>
              <w:t xml:space="preserve">Net Payable Amount (TRY)</w:t>
            </w:r>
          </w:p>
        </w:tc>
        <w:tc>
          <w:tcPr/>
          <w:p>
            <w:pPr>
              <w:pStyle w:val="Compact"/>
              <w:jc w:val="left"/>
            </w:pPr>
            <w:r>
              <w:t xml:space="preserve">414,960.00</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15 calendar days from the issue date of this Invoice (i.e., no later than 30 June 2025).</w:t>
      </w:r>
    </w:p>
    <w:p>
      <w:pPr>
        <w:pStyle w:val="BodyText"/>
      </w:pPr>
      <w:r>
        <w:rPr>
          <w:bCs/>
          <w:b/>
        </w:rPr>
        <w:t xml:space="preserve">Payment Method:</w:t>
      </w:r>
      <w:r>
        <w:t xml:space="preserve"> </w:t>
      </w:r>
      <w:r>
        <w:t xml:space="preserve">Bank transfer (EFT/Havale) to the account below.</w:t>
      </w:r>
    </w:p>
    <w:p>
      <w:pPr>
        <w:pStyle w:val="BodyText"/>
      </w:pPr>
      <w:r>
        <w:rPr>
          <w:bCs/>
          <w:b/>
        </w:rPr>
        <w:t xml:space="preserve">Bank:</w:t>
      </w:r>
      <w:r>
        <w:t xml:space="preserve"> </w:t>
      </w:r>
      <w:r>
        <w:t xml:space="preserve">Ziraat Bankası A.Ş. – Ankara Çankaya Branch</w:t>
      </w:r>
    </w:p>
    <w:p>
      <w:pPr>
        <w:pStyle w:val="BodyText"/>
      </w:pPr>
      <w:r>
        <w:rPr>
          <w:bCs/>
          <w:b/>
        </w:rPr>
        <w:t xml:space="preserve">IBAN:</w:t>
      </w:r>
      <w:r>
        <w:t xml:space="preserve"> </w:t>
      </w:r>
      <w:r>
        <w:t xml:space="preserve">TR33 0001 0000 1234 5678 9012 34</w:t>
      </w:r>
    </w:p>
    <w:p>
      <w:pPr>
        <w:pStyle w:val="BodyText"/>
      </w:pPr>
      <w:r>
        <w:rPr>
          <w:bCs/>
          <w:b/>
        </w:rPr>
        <w:t xml:space="preserve">SWIFT/BIC:</w:t>
      </w:r>
      <w:r>
        <w:t xml:space="preserve"> </w:t>
      </w:r>
      <w:r>
        <w:t xml:space="preserve">TRZBTR2A</w:t>
      </w:r>
    </w:p>
    <w:p>
      <w:pPr>
        <w:pStyle w:val="BodyText"/>
      </w:pPr>
      <w:r>
        <w:rPr>
          <w:bCs/>
          <w:b/>
        </w:rPr>
        <w:t xml:space="preserve">Reference:</w:t>
      </w:r>
      <w:r>
        <w:t xml:space="preserve"> </w:t>
      </w:r>
      <w:r>
        <w:t xml:space="preserve">Please cite Invoice No. MFA-2025-00487 in the payment description.</w:t>
      </w:r>
    </w:p>
    <w:p>
      <w:pPr>
        <w:pStyle w:val="BodyText"/>
      </w:pPr>
      <w:r>
        <w:rPr>
          <w:bCs/>
          <w:b/>
        </w:rPr>
        <w:t xml:space="preserve">Late Payment:</w:t>
      </w:r>
      <w:r>
        <w:t xml:space="preserve"> </w:t>
      </w:r>
      <w:r>
        <w:t xml:space="preserve">A late payment penalty of 1.5% per month (or the maximum rate permitted under Turkish law) shall apply to overdue balances as stipulated in the master service agreement.</w:t>
      </w:r>
    </w:p>
    <w:bookmarkEnd w:id="24"/>
    <w:bookmarkStart w:id="25" w:name="important-notes-disclaimers"/>
    <w:p>
      <w:pPr>
        <w:pStyle w:val="Heading3"/>
      </w:pPr>
      <w:r>
        <w:t xml:space="preserve">Important Notes &amp; Disclaimers</w:t>
      </w:r>
    </w:p>
    <w:p>
      <w:pPr>
        <w:pStyle w:val="FirstParagraph"/>
      </w:pPr>
      <w:r>
        <w:t xml:space="preserve">This Invoice is issued in accordance with the master service agreement (Contract No. MFA/ANK/2025/012) executed between Meridian Financial Advisory Group and Anadolu Energy Holdings A.Ş. All Financial Analyst services rendered were performed in Ankara, Turkey, and are subject to the jurisdiction of the Ankara courts.</w:t>
      </w:r>
    </w:p>
    <w:p>
      <w:pPr>
        <w:pStyle w:val="BodyText"/>
      </w:pPr>
      <w:r>
        <w:t xml:space="preserve">The Financial Analyst services described herein constitute professional advisory work. All analyses, models, and recommendations provided are based on information supplied by the client as of the service dates and do not constitute a guarantee of future financial performance. The client acknowledges that the Financial Analyst's work product is confidential and may not be disclosed to third parties without prior written consent.</w:t>
      </w:r>
    </w:p>
    <w:p>
      <w:pPr>
        <w:pStyle w:val="BodyText"/>
      </w:pPr>
      <w:r>
        <w:t xml:space="preserve">This Invoice is valid for a period of 90 days from the issue date. Any disputes arising from this Invoice or the underlying services shall be resolved in accordance with the dispute resolution clause of the master agreement, with primary jurisdiction vested in the Ankara Commercial Courts, Turkey.</w:t>
      </w:r>
    </w:p>
    <w:p>
      <w:pPr>
        <w:pStyle w:val="BodyText"/>
      </w:pPr>
      <w:r>
        <w:t xml:space="preserve">All amounts are denominated in Turkish Lira (TRY). The applicable VAT rate of 20% is in compliance with the Turkish Value Added Tax Law (KDV Kanunu No. 3065). Withholding tax has been deducted at source in accordance with Article 94 of the Turkish Income Tax Law (GİV Kanunu).</w:t>
      </w:r>
    </w:p>
    <w:bookmarkEnd w:id="25"/>
    <w:p>
      <w:pPr>
        <w:pStyle w:val="BodyText"/>
      </w:pPr>
      <w:r>
        <w:rPr>
          <w:bCs/>
          <w:b/>
        </w:rPr>
        <w:t xml:space="preserve">Prepared &amp; Issued By</w:t>
      </w:r>
      <w:r>
        <w:br/>
      </w:r>
      <w:r>
        <w:t xml:space="preserve">Dr. Elif Kaya, CFA</w:t>
      </w:r>
      <w:r>
        <w:br/>
      </w:r>
      <w:r>
        <w:t xml:space="preserve">Senior Financial Analyst</w:t>
      </w:r>
      <w:r>
        <w:br/>
      </w:r>
      <w:r>
        <w:t xml:space="preserve">Meridian Financial Advisory Group</w:t>
      </w:r>
      <w:r>
        <w:br/>
      </w:r>
      <w:r>
        <w:t xml:space="preserve">Ankara, Turkey</w:t>
      </w:r>
    </w:p>
    <w:p>
      <w:pPr>
        <w:pStyle w:val="BodyText"/>
      </w:pPr>
      <w:r>
        <w:rPr>
          <w:bCs/>
          <w:b/>
        </w:rPr>
        <w:t xml:space="preserve">Authorized Signatory</w:t>
      </w:r>
      <w:r>
        <w:br/>
      </w:r>
      <w:r>
        <w:t xml:space="preserve">Mr. Ahmet Demir</w:t>
      </w:r>
      <w:r>
        <w:br/>
      </w:r>
      <w:r>
        <w:t xml:space="preserve">Managing Director</w:t>
      </w:r>
      <w:r>
        <w:br/>
      </w:r>
      <w:r>
        <w:t xml:space="preserve">Meridian Financial Advisory Group</w:t>
      </w:r>
      <w:r>
        <w:br/>
      </w:r>
      <w:r>
        <w:t xml:space="preserve">Ankara, Turkey</w:t>
      </w:r>
    </w:p>
    <w:p>
      <w:pPr>
        <w:pStyle w:val="BodyText"/>
      </w:pPr>
      <w:r>
        <w:rPr>
          <w:bCs/>
          <w:b/>
        </w:rPr>
        <w:t xml:space="preserve">Meridian Financial Advisory Group</w:t>
      </w:r>
      <w:r>
        <w:t xml:space="preserve"> </w:t>
      </w:r>
      <w:r>
        <w:t xml:space="preserve">| Kızılay Mah. Atatürk Bulvarı No: 142/7, Çankaya, Ankara 06690, Turkey</w:t>
      </w:r>
    </w:p>
    <w:p>
      <w:pPr>
        <w:pStyle w:val="BodyText"/>
      </w:pPr>
      <w:r>
        <w:t xml:space="preserve">Tax ID (VKN): 1234567890 | MERSIS: 1234567890123456 | SPK License: 2019-FA-0087</w:t>
      </w:r>
    </w:p>
    <w:p>
      <w:pPr>
        <w:pStyle w:val="BodyText"/>
      </w:pPr>
      <w:r>
        <w:t xml:space="preserve">This Invoice was generated electronically and is valid without a physical signature in accordance with Turkish e-invoicing regulations (e-Fatura / e-Arşiv Fatura).</w:t>
      </w:r>
    </w:p>
    <w:p>
      <w:pPr>
        <w:pStyle w:val="BodyText"/>
      </w:pPr>
      <w:r>
        <w:t xml:space="preserve">For queries regarding this Invoice, please contact our billing department at billing@meridianfa.com.tr or +90 312 456 7890 (Mon–Fri, 09:00–17:30, Ankara time).</w:t>
      </w:r>
    </w:p>
    <w:p>
      <w:pPr>
        <w:pStyle w:val="BodyText"/>
      </w:pPr>
      <w:r>
        <w:t xml:space="preserve">© 2025 Meridian Financial Advisory Group. All rights reserved. This document is the property of Meridian Financial Advisory Group and is intended solely for the addressee.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Ankara, Turkey</dc:title>
  <dc:creator/>
  <dc:language>en</dc:language>
  <cp:keywords/>
  <dcterms:created xsi:type="dcterms:W3CDTF">2026-10-10T07:28:39Z</dcterms:created>
  <dcterms:modified xsi:type="dcterms:W3CDTF">2026-10-10T07:28:39Z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