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financial-advisory-group"/>
    <w:p>
      <w:pPr>
        <w:pStyle w:val="Heading1"/>
      </w:pPr>
      <w:r>
        <w:t xml:space="preserve">Meridian Financial Advisory Group</w:t>
      </w:r>
    </w:p>
    <w:p>
      <w:pPr>
        <w:pStyle w:val="FirstParagraph"/>
      </w:pPr>
      <w:r>
        <w:t xml:space="preserve">Professional Financial Analyst Services</w:t>
      </w:r>
    </w:p>
    <w:p>
      <w:pPr>
        <w:pStyle w:val="BodyText"/>
      </w:pPr>
      <w:r>
        <w:t xml:space="preserve">Levent Business District, Büyükdere Caddesi No: 178</w:t>
      </w:r>
    </w:p>
    <w:p>
      <w:pPr>
        <w:pStyle w:val="BodyText"/>
      </w:pPr>
      <w:r>
        <w:t xml:space="preserve">34394 Şişli / Istanbul, Turkey</w:t>
      </w:r>
    </w:p>
    <w:p>
      <w:pPr>
        <w:pStyle w:val="BodyText"/>
      </w:pPr>
      <w:r>
        <w:t xml:space="preserve">Tax ID (VKN): 1234567890</w:t>
      </w:r>
    </w:p>
    <w:p>
      <w:pPr>
        <w:pStyle w:val="BodyText"/>
      </w:pPr>
      <w:r>
        <w:t xml:space="preserve">Tel: +90 212 555 0147 | Email: billing@meridianfa.com.tr</w:t>
      </w:r>
    </w:p>
    <w:bookmarkEnd w:id="20"/>
    <w:bookmarkStart w:id="21" w:name="invoice"/>
    <w:p>
      <w:pPr>
        <w:pStyle w:val="Heading2"/>
      </w:pPr>
      <w:r>
        <w:t xml:space="preserve">INVOICE</w:t>
      </w:r>
    </w:p>
    <w:p>
      <w:pPr>
        <w:pStyle w:val="FirstParagraph"/>
      </w:pPr>
      <w:r>
        <w:t xml:space="preserve">Invoice No: MFA-2025-00847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Anadolu Holdings A.Ş.</w:t>
      </w:r>
    </w:p>
    <w:p>
      <w:pPr>
        <w:pStyle w:val="BodyText"/>
      </w:pPr>
      <w:r>
        <w:t xml:space="preserve">Attn: Mr. Kemal Yılmaz, CFO</w:t>
      </w:r>
    </w:p>
    <w:p>
      <w:pPr>
        <w:pStyle w:val="BodyText"/>
      </w:pPr>
      <w:r>
        <w:t xml:space="preserve">Kadıköy, Moda Caddesi No: 42</w:t>
      </w:r>
    </w:p>
    <w:p>
      <w:pPr>
        <w:pStyle w:val="BodyText"/>
      </w:pPr>
      <w:r>
        <w:t xml:space="preserve">34710 Kadıköy / Istanbul, Turkey</w:t>
      </w:r>
    </w:p>
    <w:p>
      <w:pPr>
        <w:pStyle w:val="BodyText"/>
      </w:pPr>
      <w:r>
        <w:t xml:space="preserve">Tax ID (VKN): 9876543210</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Project Ref:</w:t>
      </w:r>
      <w:r>
        <w:t xml:space="preserve"> </w:t>
      </w:r>
      <w:r>
        <w:t xml:space="preserve">FA-IST-2025-Q2</w:t>
      </w:r>
    </w:p>
    <w:p>
      <w:pPr>
        <w:pStyle w:val="BodyText"/>
      </w:pPr>
      <w:r>
        <w:rPr>
          <w:bCs/>
          <w:b/>
        </w:rPr>
        <w:t xml:space="preserve">Prepared By:</w:t>
      </w:r>
      <w:r>
        <w:t xml:space="preserve"> </w:t>
      </w:r>
      <w:r>
        <w:t xml:space="preserve">Dr. Elif Kaya, Senior Financial Analyst</w:t>
      </w:r>
    </w:p>
    <w:p>
      <w:pPr>
        <w:pStyle w:val="BodyText"/>
      </w:pPr>
      <w:r>
        <w:rPr>
          <w:bCs/>
          <w:b/>
        </w:rPr>
        <w:t xml:space="preserve">Currency:</w:t>
      </w:r>
      <w:r>
        <w:t xml:space="preserve"> </w:t>
      </w:r>
      <w:r>
        <w:t xml:space="preserve">Turkish Lira (TRY)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financial modeling and valuation analysis for quarterly earnings assessment. The Financial Analyst conducted a detailed DCF model update incorporating Istanbul market indices and sector-specific multiples relevant to the Turkish capital markets.</w:t>
            </w:r>
          </w:p>
        </w:tc>
        <w:tc>
          <w:tcPr/>
          <w:p>
            <w:pPr>
              <w:pStyle w:val="Compact"/>
              <w:jc w:val="left"/>
            </w:pPr>
            <w:r>
              <w:t xml:space="preserve">32</w:t>
            </w:r>
          </w:p>
        </w:tc>
        <w:tc>
          <w:tcPr/>
          <w:p>
            <w:pPr>
              <w:pStyle w:val="Compact"/>
              <w:jc w:val="left"/>
            </w:pPr>
            <w:r>
              <w:t xml:space="preserve">2,850.00</w:t>
            </w:r>
          </w:p>
        </w:tc>
        <w:tc>
          <w:tcPr/>
          <w:p>
            <w:pPr>
              <w:pStyle w:val="Compact"/>
              <w:jc w:val="left"/>
            </w:pPr>
            <w:r>
              <w:t xml:space="preserve">91,200.00</w:t>
            </w:r>
          </w:p>
        </w:tc>
      </w:tr>
      <w:tr>
        <w:tc>
          <w:tcPr/>
          <w:p>
            <w:pPr>
              <w:pStyle w:val="Compact"/>
              <w:jc w:val="left"/>
            </w:pPr>
            <w:r>
              <w:t xml:space="preserve">2</w:t>
            </w:r>
          </w:p>
        </w:tc>
        <w:tc>
          <w:tcPr/>
          <w:p>
            <w:pPr>
              <w:pStyle w:val="Compact"/>
              <w:jc w:val="left"/>
            </w:pPr>
            <w:r>
              <w:t xml:space="preserve">Preparation of monthly financial statements review and variance analysis. The Financial Analyst identified key deviations in operating expenses and revenue streams, providing actionable recommendations aligned with Turkish Commercial Code (Türk Ticaret Kanunu) reporting requirements.</w:t>
            </w:r>
          </w:p>
        </w:tc>
        <w:tc>
          <w:tcPr/>
          <w:p>
            <w:pPr>
              <w:pStyle w:val="Compact"/>
              <w:jc w:val="left"/>
            </w:pPr>
            <w:r>
              <w:t xml:space="preserve">24</w:t>
            </w:r>
          </w:p>
        </w:tc>
        <w:tc>
          <w:tcPr/>
          <w:p>
            <w:pPr>
              <w:pStyle w:val="Compact"/>
              <w:jc w:val="left"/>
            </w:pPr>
            <w:r>
              <w:t xml:space="preserve">2,850.00</w:t>
            </w:r>
          </w:p>
        </w:tc>
        <w:tc>
          <w:tcPr/>
          <w:p>
            <w:pPr>
              <w:pStyle w:val="Compact"/>
              <w:jc w:val="left"/>
            </w:pPr>
            <w:r>
              <w:t xml:space="preserve">68,400.00</w:t>
            </w:r>
          </w:p>
        </w:tc>
      </w:tr>
      <w:tr>
        <w:tc>
          <w:tcPr/>
          <w:p>
            <w:pPr>
              <w:pStyle w:val="Compact"/>
              <w:jc w:val="left"/>
            </w:pPr>
            <w:r>
              <w:t xml:space="preserve">3</w:t>
            </w:r>
          </w:p>
        </w:tc>
        <w:tc>
          <w:tcPr/>
          <w:p>
            <w:pPr>
              <w:pStyle w:val="Compact"/>
              <w:jc w:val="left"/>
            </w:pPr>
            <w:r>
              <w:t xml:space="preserve">Capital structure optimization and debt-to-equity ratio analysis. The Financial Analyst evaluated the client's borrowing capacity under current Central Bank of Turkey (TCMB) interest rate conditions and proposed restructuring alternatives for the Istanbul-based operations.</w:t>
            </w:r>
          </w:p>
        </w:tc>
        <w:tc>
          <w:tcPr/>
          <w:p>
            <w:pPr>
              <w:pStyle w:val="Compact"/>
              <w:jc w:val="left"/>
            </w:pPr>
            <w:r>
              <w:t xml:space="preserve">18</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Investment portfolio performance review and risk assessment. The Financial Analyst analyzed the allocation across Borsa Istanbul (BIST) equities, government bonds, and foreign currency instruments, delivering a risk-adjusted return report for the board of directors.</w:t>
            </w:r>
          </w:p>
        </w:tc>
        <w:tc>
          <w:tcPr/>
          <w:p>
            <w:pPr>
              <w:pStyle w:val="Compact"/>
              <w:jc w:val="left"/>
            </w:pPr>
            <w:r>
              <w:t xml:space="preserve">16</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5</w:t>
            </w:r>
          </w:p>
        </w:tc>
        <w:tc>
          <w:tcPr/>
          <w:p>
            <w:pPr>
              <w:pStyle w:val="Compact"/>
              <w:jc w:val="left"/>
            </w:pPr>
            <w:r>
              <w:t xml:space="preserve">Regulatory compliance audit support and tax planning consultation. The Financial Analyst ensured all financial disclosures met the standards set by the Capital Markets Board of Turkey (SPK) and provided guidance on corporate tax optimization under the Turkish Income Tax Law (GVK).</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Ad-hoc financial advisory and executive briefing preparation. The Financial Analyst prepared a strategic presentation for the CEO outlining cash flow projections, working capital management improvements, and liquidity risk mitigation strategies specific to the Turkey Istanbul business environment.</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338,400.00 TRY</w:t>
            </w:r>
          </w:p>
        </w:tc>
      </w:tr>
      <w:tr>
        <w:tc>
          <w:tcPr/>
          <w:p>
            <w:pPr>
              <w:pStyle w:val="Compact"/>
              <w:jc w:val="left"/>
            </w:pPr>
            <w:r>
              <w:t xml:space="preserve">VAT (KDV) – 20%</w:t>
            </w:r>
          </w:p>
        </w:tc>
        <w:tc>
          <w:tcPr/>
          <w:p>
            <w:pPr>
              <w:pStyle w:val="Compact"/>
              <w:jc w:val="left"/>
            </w:pPr>
            <w:r>
              <w:t xml:space="preserve">67,680.00 TRY</w:t>
            </w:r>
          </w:p>
        </w:tc>
      </w:tr>
      <w:tr>
        <w:tc>
          <w:tcPr/>
          <w:p>
            <w:pPr>
              <w:pStyle w:val="Compact"/>
              <w:jc w:val="left"/>
            </w:pPr>
            <w:r>
              <w:t xml:space="preserve">Withholding Tax (Stopaj) – 5%</w:t>
            </w:r>
          </w:p>
        </w:tc>
        <w:tc>
          <w:tcPr/>
          <w:p>
            <w:pPr>
              <w:pStyle w:val="Compact"/>
              <w:jc w:val="left"/>
            </w:pPr>
            <w:r>
              <w:t xml:space="preserve">-16,920.00 TRY</w:t>
            </w:r>
          </w:p>
        </w:tc>
      </w:tr>
      <w:tr>
        <w:tc>
          <w:tcPr/>
          <w:p>
            <w:pPr>
              <w:pStyle w:val="Compact"/>
              <w:jc w:val="left"/>
            </w:pPr>
            <w:r>
              <w:t xml:space="preserve">Grand Total Due</w:t>
            </w:r>
          </w:p>
        </w:tc>
        <w:tc>
          <w:tcPr/>
          <w:p>
            <w:pPr>
              <w:pStyle w:val="Compact"/>
              <w:jc w:val="left"/>
            </w:pPr>
            <w:r>
              <w:t xml:space="preserve">389,160.00 TRY</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İş Bankası A.Ş. – Levent Branch, Istanbul, Turkey</w:t>
      </w:r>
    </w:p>
    <w:p>
      <w:pPr>
        <w:pStyle w:val="BodyText"/>
      </w:pPr>
      <w:r>
        <w:rPr>
          <w:bCs/>
          <w:b/>
        </w:rPr>
        <w:t xml:space="preserve">Account Name:</w:t>
      </w:r>
      <w:r>
        <w:t xml:space="preserve"> </w:t>
      </w:r>
      <w:r>
        <w:t xml:space="preserve">Meridian Financial Advisory Group A.Ş.</w:t>
      </w:r>
    </w:p>
    <w:p>
      <w:pPr>
        <w:pStyle w:val="BodyText"/>
      </w:pPr>
      <w:r>
        <w:rPr>
          <w:bCs/>
          <w:b/>
        </w:rPr>
        <w:t xml:space="preserve">IBAN:</w:t>
      </w:r>
      <w:r>
        <w:t xml:space="preserve"> </w:t>
      </w:r>
      <w:r>
        <w:t xml:space="preserve">TR12 0006 4000 0011 2345 6789 01</w:t>
      </w:r>
    </w:p>
    <w:p>
      <w:pPr>
        <w:pStyle w:val="BodyText"/>
      </w:pPr>
      <w:r>
        <w:rPr>
          <w:bCs/>
          <w:b/>
        </w:rPr>
        <w:t xml:space="preserve">SWIFT/BIC:</w:t>
      </w:r>
      <w:r>
        <w:t xml:space="preserve"> </w:t>
      </w:r>
      <w:r>
        <w:t xml:space="preserve">ISBA TR IS</w:t>
      </w:r>
    </w:p>
    <w:p>
      <w:pPr>
        <w:pStyle w:val="BodyText"/>
      </w:pPr>
      <w:r>
        <w:rPr>
          <w:bCs/>
          <w:b/>
        </w:rPr>
        <w:t xml:space="preserve">Reference:</w:t>
      </w:r>
      <w:r>
        <w:t xml:space="preserve"> </w:t>
      </w:r>
      <w:r>
        <w:t xml:space="preserve">Please cite Invoice No. MFA-2025-00847 in your payment reference field.</w:t>
      </w:r>
    </w:p>
    <w:p>
      <w:pPr>
        <w:pStyle w:val="BodyText"/>
      </w:pPr>
      <w:r>
        <w:rPr>
          <w:bCs/>
          <w:b/>
        </w:rPr>
        <w:t xml:space="preserve">Payment Terms:</w:t>
      </w:r>
      <w:r>
        <w:t xml:space="preserve"> </w:t>
      </w:r>
      <w:r>
        <w:t xml:space="preserve">Net 15 days from the invoice date. Late payments are subject to a penalty interest rate of 1.5% per month in accordance with Turkish commercial law.</w:t>
      </w:r>
    </w:p>
    <w:bookmarkEnd w:id="24"/>
    <w:bookmarkStart w:id="25" w:name="important-notes"/>
    <w:p>
      <w:pPr>
        <w:pStyle w:val="Heading3"/>
      </w:pPr>
      <w:r>
        <w:t xml:space="preserve">Important Notes</w:t>
      </w:r>
    </w:p>
    <w:p>
      <w:pPr>
        <w:pStyle w:val="FirstParagraph"/>
      </w:pPr>
      <w:r>
        <w:t xml:space="preserve">This Invoice has been prepared in accordance with the Turkish Accounting Standards (TMS) and the regulations of the Ministry of Finance of the Republic of Turkey. All Financial Analyst services rendered under this engagement were performed by certified professionals registered with the Istanbul Chamber of Commerce (İstanbul Ticaret Odası).</w:t>
      </w:r>
    </w:p>
    <w:p>
      <w:pPr>
        <w:pStyle w:val="BodyText"/>
      </w:pPr>
      <w:r>
        <w:t xml:space="preserve">The Financial Analyst services described herein were conducted at our office located in the Levent Business District, Istanbul, Turkey, and at the client's premises in Kadıköy, Istanbul. All data and analyses remain the confidential property of Anadolu Holdings A.Ş. and are protected under the Turkish Personal Data Protection Law (KVKK – Law No. 6698).</w:t>
      </w:r>
    </w:p>
    <w:p>
      <w:pPr>
        <w:pStyle w:val="BodyText"/>
      </w:pPr>
      <w:r>
        <w:t xml:space="preserve">This Invoice is valid for 90 days from the issue date. In the event of any discrepancy, please contact our billing department within 10 business days. The Financial Analyst team at Meridian Financial Advisory Group remains available for clarification of any line item on this Invoice.</w:t>
      </w:r>
    </w:p>
    <w:p>
      <w:pPr>
        <w:pStyle w:val="BodyText"/>
      </w:pPr>
      <w:r>
        <w:t xml:space="preserve">All amounts are stated in Turkish Lira (TRY). For international remittances, the equivalent amount in USD or EUR will be calculated at the TCMB reference exchange rate on the date of payment.</w:t>
      </w:r>
    </w:p>
    <w:bookmarkEnd w:id="25"/>
    <w:p>
      <w:pPr>
        <w:pStyle w:val="BodyText"/>
      </w:pPr>
      <w:r>
        <w:t xml:space="preserve">Dr. Elif Kaya</w:t>
      </w:r>
    </w:p>
    <w:p>
      <w:pPr>
        <w:pStyle w:val="BodyText"/>
      </w:pPr>
      <w:r>
        <w:t xml:space="preserve">Senior Financial Analyst</w:t>
      </w:r>
    </w:p>
    <w:p>
      <w:pPr>
        <w:pStyle w:val="BodyText"/>
      </w:pPr>
      <w:r>
        <w:t xml:space="preserve">Authorized Signatory</w:t>
      </w:r>
    </w:p>
    <w:p>
      <w:pPr>
        <w:pStyle w:val="BodyText"/>
      </w:pPr>
      <w:r>
        <w:t xml:space="preserve">Client Acknowledgment</w:t>
      </w:r>
    </w:p>
    <w:p>
      <w:pPr>
        <w:pStyle w:val="BodyText"/>
      </w:pPr>
      <w:r>
        <w:t xml:space="preserve">Mr. Kemal Yılmaz, CFO</w:t>
      </w:r>
    </w:p>
    <w:p>
      <w:pPr>
        <w:pStyle w:val="BodyText"/>
      </w:pPr>
      <w:r>
        <w:t xml:space="preserve">Anadolu Holdings A.Ş.</w:t>
      </w:r>
    </w:p>
    <w:p>
      <w:pPr>
        <w:pStyle w:val="BodyText"/>
      </w:pPr>
      <w:r>
        <w:t xml:space="preserve">Meridian Financial Advisory Group A.Ş. | Levent Business District, Büyükdere Caddesi No: 178, 34394 Şişli / Istanbul, Turkey</w:t>
      </w:r>
    </w:p>
    <w:p>
      <w:pPr>
        <w:pStyle w:val="BodyText"/>
      </w:pPr>
      <w:r>
        <w:t xml:space="preserve">Registered with the Istanbul Chamber of Commerce – Registration No: 2019/45678</w:t>
      </w:r>
    </w:p>
    <w:p>
      <w:pPr>
        <w:pStyle w:val="BodyText"/>
      </w:pPr>
      <w:r>
        <w:t xml:space="preserve">This Invoice was electronically generated and is valid without a physical stamp or signature in compliance with Turkish e-Invoice (e-Fatura) regulations.</w:t>
      </w:r>
    </w:p>
    <w:p>
      <w:pPr>
        <w:pStyle w:val="BodyText"/>
      </w:pPr>
      <w:r>
        <w:t xml:space="preserve">© 2025 Meridian Financial Advisory Group. All rights reserved. | Financial Analyst Services |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Turkey Istanbul</dc:title>
  <dc:creator/>
  <dc:language>en</dc:language>
  <cp:keywords/>
  <dcterms:created xsi:type="dcterms:W3CDTF">2026-10-10T09:29:41Z</dcterms:created>
  <dcterms:modified xsi:type="dcterms:W3CDTF">2026-10-10T09:29:41Z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