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meridian-financial-advisory-llc"/>
    <w:p>
      <w:pPr>
        <w:pStyle w:val="Heading1"/>
      </w:pPr>
      <w:r>
        <w:t xml:space="preserve">Meridian Financial Advisory LLC</w:t>
      </w:r>
    </w:p>
    <w:p>
      <w:pPr>
        <w:pStyle w:val="FirstParagraph"/>
      </w:pPr>
      <w:r>
        <w:t xml:space="preserve">Office 1204, Level 12, Al Reem Island Tower</w:t>
      </w:r>
    </w:p>
    <w:p>
      <w:pPr>
        <w:pStyle w:val="BodyText"/>
      </w:pPr>
      <w:r>
        <w:t xml:space="preserve">Abu Dhabi, United Arab Emirates</w:t>
      </w:r>
    </w:p>
    <w:p>
      <w:pPr>
        <w:pStyle w:val="BodyText"/>
      </w:pPr>
      <w:r>
        <w:t xml:space="preserve">Tel: +971 2 555 0142 | Email: billing@meridianfa.ae</w:t>
      </w:r>
    </w:p>
    <w:p>
      <w:pPr>
        <w:pStyle w:val="BodyText"/>
      </w:pPr>
      <w:r>
        <w:t xml:space="preserve">TRN: 100234567800003 | License No: AD-2019-44821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Financial Analyst Engagement</w:t>
      </w:r>
    </w:p>
    <w:p>
      <w:pPr>
        <w:pStyle w:val="BodyText"/>
      </w:pPr>
      <w:r>
        <w:t xml:space="preserve">United Arab Emirates — Abu Dhabi</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MFA-2025-0487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AED (UAE Dirham)</w:t>
      </w:r>
    </w:p>
    <w:bookmarkEnd w:id="22"/>
    <w:bookmarkStart w:id="23" w:name="billed-to"/>
    <w:p>
      <w:pPr>
        <w:pStyle w:val="Heading3"/>
      </w:pPr>
      <w:r>
        <w:t xml:space="preserve">Billed To</w:t>
      </w:r>
    </w:p>
    <w:p>
      <w:pPr>
        <w:pStyle w:val="FirstParagraph"/>
      </w:pPr>
      <w:r>
        <w:rPr>
          <w:bCs/>
          <w:b/>
        </w:rPr>
        <w:t xml:space="preserve">Al Noor Energy Holdings PJSC</w:t>
      </w:r>
    </w:p>
    <w:p>
      <w:pPr>
        <w:pStyle w:val="BodyText"/>
      </w:pPr>
      <w:r>
        <w:t xml:space="preserve">Corporate Tower, Khalifa City, Abu Dhabi</w:t>
      </w:r>
    </w:p>
    <w:p>
      <w:pPr>
        <w:pStyle w:val="BodyText"/>
      </w:pPr>
      <w:r>
        <w:t xml:space="preserve">United Arab Emirates</w:t>
      </w:r>
    </w:p>
    <w:p>
      <w:pPr>
        <w:pStyle w:val="BodyText"/>
      </w:pPr>
      <w:r>
        <w:t xml:space="preserve">Attn: Mr. Khalid Al Mansoori, CFO</w:t>
      </w:r>
    </w:p>
    <w:p>
      <w:pPr>
        <w:pStyle w:val="BodyText"/>
      </w:pPr>
      <w:r>
        <w:t xml:space="preserve">TRN: 100987654300005</w:t>
      </w:r>
    </w:p>
    <w:bookmarkEnd w:id="23"/>
    <w:bookmarkStart w:id="24" w:name="service-provider"/>
    <w:p>
      <w:pPr>
        <w:pStyle w:val="Heading3"/>
      </w:pPr>
      <w:r>
        <w:t xml:space="preserve">Service Provider</w:t>
      </w:r>
    </w:p>
    <w:p>
      <w:pPr>
        <w:pStyle w:val="FirstParagraph"/>
      </w:pPr>
      <w:r>
        <w:rPr>
          <w:bCs/>
          <w:b/>
        </w:rPr>
        <w:t xml:space="preserve">Eng. Sarah Al Farsi</w:t>
      </w:r>
    </w:p>
    <w:p>
      <w:pPr>
        <w:pStyle w:val="BodyText"/>
      </w:pPr>
      <w:r>
        <w:t xml:space="preserve">Senior Financial Analyst</w:t>
      </w:r>
    </w:p>
    <w:p>
      <w:pPr>
        <w:pStyle w:val="BodyText"/>
      </w:pPr>
      <w:r>
        <w:t xml:space="preserve">Meridian Financial Advisory LLC</w:t>
      </w:r>
    </w:p>
    <w:p>
      <w:pPr>
        <w:pStyle w:val="BodyText"/>
      </w:pPr>
      <w:r>
        <w:t xml:space="preserve">Abu Dhabi, United Arab Emirates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financial modeling and variance analysis for Q1 2025 operational performance. The Financial Analyst prepared detailed revenue forecasting models incorporating market trends specific to the Abu Dhabi energy sector and United Arab Emirates regulatory environment.</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Preparation of monthly management accounts and budget-to-actual reports. The Financial Analyst conducted in-depth cost structure analysis across all business units operating within Abu Dhabi, United Arab Emirates, identifying areas of expenditure optimization and capital allocation efficiency.</w:t>
            </w:r>
          </w:p>
        </w:tc>
        <w:tc>
          <w:tcPr/>
          <w:p>
            <w:pPr>
              <w:pStyle w:val="Compact"/>
              <w:jc w:val="left"/>
            </w:pPr>
            <w:r>
              <w:t xml:space="preserve">Jan – Mar 2025</w:t>
            </w:r>
          </w:p>
        </w:tc>
        <w:tc>
          <w:tcPr/>
          <w:p>
            <w:pPr>
              <w:pStyle w:val="Compact"/>
              <w:jc w:val="left"/>
            </w:pPr>
            <w:r>
              <w:t xml:space="preserve">36</w:t>
            </w:r>
          </w:p>
        </w:tc>
        <w:tc>
          <w:tcPr/>
          <w:p>
            <w:pPr>
              <w:pStyle w:val="Compact"/>
              <w:jc w:val="left"/>
            </w:pPr>
            <w:r>
              <w:t xml:space="preserve">450.00</w:t>
            </w:r>
          </w:p>
        </w:tc>
        <w:tc>
          <w:tcPr/>
          <w:p>
            <w:pPr>
              <w:pStyle w:val="Compact"/>
              <w:jc w:val="left"/>
            </w:pPr>
            <w:r>
              <w:t xml:space="preserve">16,200.00</w:t>
            </w:r>
          </w:p>
        </w:tc>
      </w:tr>
      <w:tr>
        <w:tc>
          <w:tcPr/>
          <w:p>
            <w:pPr>
              <w:pStyle w:val="Compact"/>
              <w:jc w:val="left"/>
            </w:pPr>
            <w:r>
              <w:t xml:space="preserve">3</w:t>
            </w:r>
          </w:p>
        </w:tc>
        <w:tc>
          <w:tcPr/>
          <w:p>
            <w:pPr>
              <w:pStyle w:val="Compact"/>
              <w:jc w:val="left"/>
            </w:pPr>
            <w:r>
              <w:t xml:space="preserve">Capital expenditure (CAPEX) evaluation and investment appraisal for the proposed solar energy expansion project in Al Dhafra, Abu Dhabi. The Financial Analyst performed discounted cash flow analysis, sensitivity testing, and risk-adjusted return calculations in compliance with United Arab Emirates investment regulations.</w:t>
            </w:r>
          </w:p>
        </w:tc>
        <w:tc>
          <w:tcPr/>
          <w:p>
            <w:pPr>
              <w:pStyle w:val="Compact"/>
              <w:jc w:val="left"/>
            </w:pPr>
            <w:r>
              <w:t xml:space="preserve">Feb – Apr 2025</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Debt restructuring analysis and refinancing strategy development. The Financial Analyst assessed current borrowing facilities, evaluated alternative financing structures available in the Abu Dhabi financial market, and prepared a comprehensive term sheet comparison for the board of directors of the client entity registered in the United Arab Emirates.</w:t>
            </w:r>
          </w:p>
        </w:tc>
        <w:tc>
          <w:tcPr/>
          <w:p>
            <w:pPr>
              <w:pStyle w:val="Compact"/>
              <w:jc w:val="left"/>
            </w:pPr>
            <w:r>
              <w:t xml:space="preserve">Mar – May 2025</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Regulatory compliance review and financial reporting support in accordance with UAE IFRS standards. The Financial Analyst ensured all financial statements and disclosures met the requirements of the Abu Dhabi Securities Authority and the Federal Tax Authority of the United Arab Emirates, including VAT reconciliation and transfer pricing documentation.</w:t>
            </w:r>
          </w:p>
        </w:tc>
        <w:tc>
          <w:tcPr/>
          <w:p>
            <w:pPr>
              <w:pStyle w:val="Compact"/>
              <w:jc w:val="left"/>
            </w:pPr>
            <w:r>
              <w:t xml:space="preserve">Apr – Jun 2025</w:t>
            </w:r>
          </w:p>
        </w:tc>
        <w:tc>
          <w:tcPr/>
          <w:p>
            <w:pPr>
              <w:pStyle w:val="Compact"/>
              <w:jc w:val="left"/>
            </w:pPr>
            <w:r>
              <w:t xml:space="preserve">28</w:t>
            </w:r>
          </w:p>
        </w:tc>
        <w:tc>
          <w:tcPr/>
          <w:p>
            <w:pPr>
              <w:pStyle w:val="Compact"/>
              <w:jc w:val="left"/>
            </w:pPr>
            <w:r>
              <w:t xml:space="preserve">450.00</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Board presentation preparation and executive briefing on annual financial performance. The Financial Analyst compiled key performance indicators, prepared visual dashboards, and delivered a strategic financial outlook addressing growth opportunities within the Abu Dhabi and wider United Arab Emirates markets for the fiscal year 2025–2026.</w:t>
            </w:r>
          </w:p>
        </w:tc>
        <w:tc>
          <w:tcPr/>
          <w:p>
            <w:pPr>
              <w:pStyle w:val="Compact"/>
              <w:jc w:val="left"/>
            </w:pPr>
            <w:r>
              <w:t xml:space="preserve">May – Jun 2025</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90,000.00</w:t>
            </w:r>
          </w:p>
        </w:tc>
      </w:tr>
      <w:tr>
        <w:tc>
          <w:tcPr/>
          <w:p>
            <w:pPr>
              <w:pStyle w:val="Compact"/>
              <w:jc w:val="left"/>
            </w:pPr>
            <w:r>
              <w:t xml:space="preserve">VAT @ 5% (United Arab Emirates)</w:t>
            </w:r>
          </w:p>
        </w:tc>
        <w:tc>
          <w:tcPr/>
          <w:p>
            <w:pPr>
              <w:pStyle w:val="Compact"/>
              <w:jc w:val="right"/>
            </w:pPr>
            <w:r>
              <w:t xml:space="preserve">AED 4,500.00</w:t>
            </w:r>
          </w:p>
        </w:tc>
      </w:tr>
      <w:tr>
        <w:tc>
          <w:tcPr/>
          <w:p>
            <w:pPr>
              <w:pStyle w:val="Compact"/>
              <w:jc w:val="left"/>
            </w:pPr>
            <w:r>
              <w:t xml:space="preserve">Discount (Early Payment – 2%)</w:t>
            </w:r>
          </w:p>
        </w:tc>
        <w:tc>
          <w:tcPr/>
          <w:p>
            <w:pPr>
              <w:pStyle w:val="Compact"/>
              <w:jc w:val="right"/>
            </w:pPr>
            <w:r>
              <w:t xml:space="preserve">AED (1,800.00)</w:t>
            </w:r>
          </w:p>
        </w:tc>
      </w:tr>
      <w:tr>
        <w:tc>
          <w:tcPr/>
          <w:p>
            <w:pPr>
              <w:pStyle w:val="Compact"/>
              <w:jc w:val="left"/>
            </w:pPr>
            <w:r>
              <w:t xml:space="preserve">Total Amount Due</w:t>
            </w:r>
          </w:p>
        </w:tc>
        <w:tc>
          <w:tcPr/>
          <w:p>
            <w:pPr>
              <w:pStyle w:val="Compact"/>
              <w:jc w:val="right"/>
            </w:pPr>
            <w:r>
              <w:t xml:space="preserve">AED 92,700.00</w:t>
            </w:r>
          </w:p>
        </w:tc>
      </w:tr>
    </w:tbl>
    <w:bookmarkStart w:id="25" w:name="X87216d808ec8862616c64cc18b6762c43803388"/>
    <w:p>
      <w:pPr>
        <w:pStyle w:val="Heading3"/>
      </w:pPr>
      <w:r>
        <w:t xml:space="preserve">Payment Instructions — United Arab Emirates Abu Dhabi</w:t>
      </w:r>
    </w:p>
    <w:p>
      <w:pPr>
        <w:pStyle w:val="FirstParagraph"/>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Meridian Financial Advisory LLC</w:t>
      </w:r>
    </w:p>
    <w:p>
      <w:pPr>
        <w:pStyle w:val="BodyText"/>
      </w:pPr>
      <w:r>
        <w:rPr>
          <w:bCs/>
          <w:b/>
        </w:rPr>
        <w:t xml:space="preserve">Account Number:</w:t>
      </w:r>
      <w:r>
        <w:t xml:space="preserve"> </w:t>
      </w:r>
      <w:r>
        <w:t xml:space="preserve">001-2345678901234</w:t>
      </w:r>
    </w:p>
    <w:p>
      <w:pPr>
        <w:pStyle w:val="BodyText"/>
      </w:pPr>
      <w:r>
        <w:rPr>
          <w:bCs/>
          <w:b/>
        </w:rPr>
        <w:t xml:space="preserve">IBAN:</w:t>
      </w:r>
      <w:r>
        <w:t xml:space="preserve"> </w:t>
      </w:r>
      <w:r>
        <w:t xml:space="preserve">AE0700000000123456789012</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MFA-2025-0487</w:t>
      </w:r>
    </w:p>
    <w:p>
      <w:pPr>
        <w:pStyle w:val="BodyText"/>
      </w:pPr>
      <w:r>
        <w:rPr>
          <w:bCs/>
          <w:b/>
        </w:rPr>
        <w:t xml:space="preserve">Payment Method:</w:t>
      </w:r>
      <w:r>
        <w:t xml:space="preserve"> </w:t>
      </w:r>
      <w:r>
        <w:t xml:space="preserve">Bank Transfer (AED) | Cheque payable to Meridian Financial Advisory LLC</w:t>
      </w:r>
    </w:p>
    <w:p>
      <w:pPr>
        <w:pStyle w:val="BodyText"/>
      </w:pPr>
      <w:r>
        <w:rPr>
          <w:bCs/>
          <w:b/>
        </w:rPr>
        <w:t xml:space="preserve">Payment Due:</w:t>
      </w:r>
      <w:r>
        <w:t xml:space="preserve"> </w:t>
      </w:r>
      <w:r>
        <w:t xml:space="preserve">Within 15 calendar days from the Invoice date (by 30 June 2025)</w:t>
      </w:r>
    </w:p>
    <w:bookmarkEnd w:id="25"/>
    <w:bookmarkStart w:id="26" w:name="notes-regarding-this-invoice"/>
    <w:p>
      <w:pPr>
        <w:pStyle w:val="Heading3"/>
      </w:pPr>
      <w:r>
        <w:t xml:space="preserve">Notes Regarding This Invoice</w:t>
      </w:r>
    </w:p>
    <w:p>
      <w:pPr>
        <w:pStyle w:val="FirstParagraph"/>
      </w:pPr>
      <w:r>
        <w:t xml:space="preserve">This Invoice has been issued in accordance with the Federal Tax Authority regulations of the United Arab Emirates and reflects the professional services rendered by the designated Financial Analyst during the engagement period specified above. All services were performed in Abu Dhabi, United Arab Emirates, and are subject to the 5% Value Added Tax (VAT) as mandated by UAE federal law.</w:t>
      </w:r>
    </w:p>
    <w:p>
      <w:pPr>
        <w:pStyle w:val="BodyText"/>
      </w:pPr>
      <w:r>
        <w:t xml:space="preserve">The Financial Analyst services described in this Invoice were delivered in full compliance with the professional standards set by the Abu Dhabi Financial Services Regulatory Authority and the ethical guidelines of the Chartered Financial Analyst (CFA) Institute. All data, models, and analytical outputs remain the intellectual property of the client upon full settlement of this Invoice.</w:t>
      </w:r>
    </w:p>
    <w:p>
      <w:pPr>
        <w:pStyle w:val="BodyText"/>
      </w:pPr>
      <w:r>
        <w:t xml:space="preserve">Please ensure that the Invoice reference number MFA-2025-0487 is included with your payment to facilitate accurate reconciliation in our accounting records. For any queries regarding this Invoice or the scope of Financial Analyst services provided, please contact our billing department in Abu Dhabi, United Arab Emirates, at billing@meridianfa.ae or +971 2 555 0142.</w:t>
      </w:r>
    </w:p>
    <w:bookmarkEnd w:id="26"/>
    <w:bookmarkStart w:id="27" w:name="terms-and-conditions"/>
    <w:p>
      <w:pPr>
        <w:pStyle w:val="Heading3"/>
      </w:pPr>
      <w:r>
        <w:t xml:space="preserve">Terms and Conditions</w:t>
      </w:r>
    </w:p>
    <w:p>
      <w:pPr>
        <w:pStyle w:val="FirstParagraph"/>
      </w:pPr>
      <w:r>
        <w:t xml:space="preserve">1. This Invoice is valid for 30 days from the date of issue. Late payments shall attract a penalty of 1.5% per month as per UAE commercial law.</w:t>
      </w:r>
    </w:p>
    <w:p>
      <w:pPr>
        <w:pStyle w:val="BodyText"/>
      </w:pPr>
      <w:r>
        <w:t xml:space="preserve">2. All Financial Analyst deliverables, including but not limited to financial models, reports, and presentations, shall be deemed accepted upon receipt unless written objection is raised within 7 business days.</w:t>
      </w:r>
    </w:p>
    <w:p>
      <w:pPr>
        <w:pStyle w:val="BodyText"/>
      </w:pPr>
      <w:r>
        <w:t xml:space="preserve">3. This Invoice is governed by the laws of the United Arab Emirates, and any disputes shall be subject to the exclusive jurisdiction of the courts of Abu Dhabi, United Arab Emirates.</w:t>
      </w:r>
    </w:p>
    <w:p>
      <w:pPr>
        <w:pStyle w:val="BodyText"/>
      </w:pPr>
      <w:r>
        <w:t xml:space="preserve">4. The Financial Analyst engagement is subject to the Master Services Agreement dated 01 January 2025 between the parties. This Invoice constitutes a partial billing under that agreement.</w:t>
      </w:r>
    </w:p>
    <w:p>
      <w:pPr>
        <w:pStyle w:val="BodyText"/>
      </w:pPr>
      <w:r>
        <w:t xml:space="preserve">5. No part of the services described in this Invoice may be resold or redistributed without prior written consent from Meridian Financial Advisory LLC, Abu Dhabi, United Arab Emirates.</w:t>
      </w:r>
    </w:p>
    <w:bookmarkEnd w:id="27"/>
    <w:p>
      <w:pPr>
        <w:pStyle w:val="BodyText"/>
      </w:pPr>
      <w:r>
        <w:rPr>
          <w:bCs/>
          <w:b/>
        </w:rPr>
        <w:t xml:space="preserve">Meridian Financial Advisory LLC</w:t>
      </w:r>
      <w:r>
        <w:t xml:space="preserve"> </w:t>
      </w:r>
      <w:r>
        <w:t xml:space="preserve">| Office 1204, Level 12, Al Reem Island Tower, Abu Dhabi, United Arab Emirates</w:t>
      </w:r>
    </w:p>
    <w:p>
      <w:pPr>
        <w:pStyle w:val="BodyText"/>
      </w:pPr>
      <w:r>
        <w:t xml:space="preserve">TRN: 100234567800003 | Commercial License: AD-2019-44821 | Registered with Abu Dhabi Department of Economic Development</w:t>
      </w:r>
    </w:p>
    <w:p>
      <w:pPr>
        <w:pStyle w:val="BodyText"/>
      </w:pPr>
      <w:r>
        <w:t xml:space="preserve">This Invoice was generated electronically and is valid without a physical signature. For verification, contact billing@meridianfa.ae.</w:t>
      </w:r>
    </w:p>
    <w:p>
      <w:pPr>
        <w:pStyle w:val="BodyText"/>
      </w:pPr>
      <w:r>
        <w:t xml:space="preserve">© 2025 Meridian Financial Advisory LLC. All rights reserved. Invoice MFA-2025-0487 — Financial Analyst Services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United Arab Emirates Abu Dhabi</dc:title>
  <dc:creator/>
  <dc:language>en</dc:language>
  <cp:keywords/>
  <dcterms:created xsi:type="dcterms:W3CDTF">2026-10-10T08:08:32Z</dcterms:created>
  <dcterms:modified xsi:type="dcterms:W3CDTF">2026-10-10T08:08:32Z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