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capital-advisory-llc"/>
    <w:p>
      <w:pPr>
        <w:pStyle w:val="Heading1"/>
      </w:pPr>
      <w:r>
        <w:t xml:space="preserve">Meridian Capital Advisory LLC</w:t>
      </w:r>
    </w:p>
    <w:p>
      <w:pPr>
        <w:pStyle w:val="FirstParagraph"/>
      </w:pPr>
      <w:r>
        <w:t xml:space="preserve">Office 1402, Level 14, Burj Khalifa</w:t>
      </w:r>
    </w:p>
    <w:p>
      <w:pPr>
        <w:pStyle w:val="BodyText"/>
      </w:pPr>
      <w:r>
        <w:t xml:space="preserve">Downtown Dubai, United Arab Emirates</w:t>
      </w:r>
    </w:p>
    <w:p>
      <w:pPr>
        <w:pStyle w:val="BodyText"/>
      </w:pPr>
      <w:r>
        <w:t xml:space="preserve">Tel: +971 4 555 0182 | Email: billing@meridiancapital.ae</w:t>
      </w:r>
    </w:p>
    <w:p>
      <w:pPr>
        <w:pStyle w:val="BodyText"/>
      </w:pPr>
      <w:r>
        <w:t xml:space="preserve">Trade License No: 1048293 | CR: 112847</w:t>
      </w:r>
    </w:p>
    <w:p>
      <w:pPr>
        <w:pStyle w:val="BodyText"/>
      </w:pPr>
      <w:r>
        <w:t xml:space="preserve">VAT Registration No: 100482937500003</w:t>
      </w:r>
    </w:p>
    <w:bookmarkEnd w:id="20"/>
    <w:bookmarkStart w:id="21" w:name="invoice"/>
    <w:p>
      <w:pPr>
        <w:pStyle w:val="Heading2"/>
      </w:pPr>
      <w:r>
        <w:t xml:space="preserve">INVOICE</w:t>
      </w:r>
    </w:p>
    <w:p>
      <w:pPr>
        <w:pStyle w:val="FirstParagraph"/>
      </w:pPr>
      <w:r>
        <w:t xml:space="preserve">Invoice No: MCA-2025-00472</w:t>
      </w:r>
    </w:p>
    <w:p>
      <w:pPr>
        <w:pStyle w:val="BodyText"/>
      </w:pPr>
      <w:r>
        <w:t xml:space="preserve">Date of Issue: 15 June 2025</w:t>
      </w:r>
    </w:p>
    <w:p>
      <w:pPr>
        <w:pStyle w:val="BodyText"/>
      </w:pPr>
      <w:r>
        <w:t xml:space="preserve">Due Date: 30 June 2025</w:t>
      </w:r>
    </w:p>
    <w:p>
      <w:pPr>
        <w:pStyle w:val="BodyText"/>
      </w:pPr>
      <w:r>
        <w:t xml:space="preserve">Reference: FA-ENG-2025-Q2</w:t>
      </w:r>
    </w:p>
    <w:bookmarkEnd w:id="21"/>
    <w:bookmarkStart w:id="22" w:name="billed-to"/>
    <w:p>
      <w:pPr>
        <w:pStyle w:val="Heading3"/>
      </w:pPr>
      <w:r>
        <w:t xml:space="preserve">Billed To</w:t>
      </w:r>
    </w:p>
    <w:p>
      <w:pPr>
        <w:pStyle w:val="FirstParagraph"/>
      </w:pPr>
      <w:r>
        <w:rPr>
          <w:bCs/>
          <w:b/>
        </w:rPr>
        <w:t xml:space="preserve">Al Noor Real Estate Development FZE</w:t>
      </w:r>
    </w:p>
    <w:p>
      <w:pPr>
        <w:pStyle w:val="BodyText"/>
      </w:pPr>
      <w:r>
        <w:t xml:space="preserve">Attn: Mr. Khalid Al Mansoori, Chief Financial Officer</w:t>
      </w:r>
    </w:p>
    <w:p>
      <w:pPr>
        <w:pStyle w:val="BodyText"/>
      </w:pPr>
      <w:r>
        <w:t xml:space="preserve">Level 28, Emirates Towers, Sheikh Zayed Road</w:t>
      </w:r>
    </w:p>
    <w:p>
      <w:pPr>
        <w:pStyle w:val="BodyText"/>
      </w:pPr>
      <w:r>
        <w:t xml:space="preserve">Dubai, United Arab Emirates</w:t>
      </w:r>
    </w:p>
    <w:p>
      <w:pPr>
        <w:pStyle w:val="BodyText"/>
      </w:pPr>
      <w:r>
        <w:t xml:space="preserve">VAT No: 100398274600003</w:t>
      </w:r>
    </w:p>
    <w:bookmarkEnd w:id="22"/>
    <w:bookmarkStart w:id="23" w:name="service-provider"/>
    <w:p>
      <w:pPr>
        <w:pStyle w:val="Heading3"/>
      </w:pPr>
      <w:r>
        <w:t xml:space="preserve">Service Provider</w:t>
      </w:r>
    </w:p>
    <w:p>
      <w:pPr>
        <w:pStyle w:val="FirstParagraph"/>
      </w:pPr>
      <w:r>
        <w:rPr>
          <w:bCs/>
          <w:b/>
        </w:rPr>
        <w:t xml:space="preserve">Financial Analyst – Senior Engagement</w:t>
      </w:r>
    </w:p>
    <w:p>
      <w:pPr>
        <w:pStyle w:val="BodyText"/>
      </w:pPr>
      <w:r>
        <w:t xml:space="preserve">Lead Analyst: Dr. Sarah Al Farsi, CFA, FRM</w:t>
      </w:r>
    </w:p>
    <w:p>
      <w:pPr>
        <w:pStyle w:val="BodyText"/>
      </w:pPr>
      <w:r>
        <w:t xml:space="preserve">Meridian Capital Advisory LLC</w:t>
      </w:r>
    </w:p>
    <w:p>
      <w:pPr>
        <w:pStyle w:val="BodyText"/>
      </w:pPr>
      <w:r>
        <w:t xml:space="preserve">Dubai, United Arab Emirates</w:t>
      </w:r>
    </w:p>
    <w:bookmarkEnd w:id="23"/>
    <w:bookmarkStart w:id="24" w:name="engagement-period"/>
    <w:p>
      <w:pPr>
        <w:pStyle w:val="Heading3"/>
      </w:pPr>
      <w:r>
        <w:t xml:space="preserve">Engagement Period</w:t>
      </w:r>
    </w:p>
    <w:p>
      <w:pPr>
        <w:pStyle w:val="FirstParagraph"/>
      </w:pPr>
      <w:r>
        <w:t xml:space="preserve">01 April 2025 – 30 May 2025</w:t>
      </w:r>
    </w:p>
    <w:p>
      <w:pPr>
        <w:pStyle w:val="BodyText"/>
      </w:pPr>
      <w:r>
        <w:t xml:space="preserve">Project: Q2 Financial Modelling &amp; Valuation</w:t>
      </w:r>
    </w:p>
    <w:p>
      <w:pPr>
        <w:pStyle w:val="BodyText"/>
      </w:pPr>
      <w:r>
        <w:t xml:space="preserve">Location: Dubai, United Arab Emirates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(AED)</w:t>
            </w:r>
          </w:p>
        </w:tc>
        <w:tc>
          <w:tcPr/>
          <w:p>
            <w:pPr>
              <w:pStyle w:val="Compact"/>
              <w:jc w:val="left"/>
            </w:pPr>
            <w:r>
              <w:t xml:space="preserve">Hours / Units</w:t>
            </w:r>
          </w:p>
        </w:tc>
        <w:tc>
          <w:tcPr/>
          <w:p>
            <w:pPr>
              <w:pStyle w:val="Compact"/>
              <w:jc w:val="left"/>
            </w:pPr>
            <w:r>
              <w:t xml:space="preserve">Amount (AED)</w:t>
            </w:r>
          </w:p>
        </w:tc>
        <w:tc>
          <w:tcPr/>
          <w:p>
            <w:pPr>
              <w:pStyle w:val="Compact"/>
              <w:jc w:val="left"/>
            </w:pPr>
            <w:r>
              <w:t xml:space="preserve">VAT 5% (AED)</w:t>
            </w:r>
          </w:p>
        </w:tc>
      </w:tr>
      <w:tr>
        <w:tc>
          <w:tcPr/>
          <w:p>
            <w:pPr>
              <w:pStyle w:val="Compact"/>
              <w:jc w:val="left"/>
            </w:pPr>
            <w:r>
              <w:t xml:space="preserve">1</w:t>
            </w:r>
          </w:p>
        </w:tc>
        <w:tc>
          <w:tcPr/>
          <w:p>
            <w:pPr>
              <w:pStyle w:val="Compact"/>
              <w:jc w:val="left"/>
            </w:pPr>
            <w:r>
              <w:t xml:space="preserve">Comprehensive financial modelling and discounted cash flow (DCF) valuation of Al Noor Real Estate's Dubai mixed-use development portfolio, prepared by the assigned Financial Analyst in accordance with IFRS standards applicable in the United Arab Emirates.</w:t>
            </w:r>
          </w:p>
        </w:tc>
        <w:tc>
          <w:tcPr/>
          <w:p>
            <w:pPr>
              <w:pStyle w:val="Compact"/>
              <w:jc w:val="left"/>
            </w:pPr>
            <w:r>
              <w:t xml:space="preserve">1,200.00</w:t>
            </w:r>
          </w:p>
        </w:tc>
        <w:tc>
          <w:tcPr/>
          <w:p>
            <w:pPr>
              <w:pStyle w:val="Compact"/>
              <w:jc w:val="left"/>
            </w:pPr>
            <w:r>
              <w:t xml:space="preserve">48 hrs</w:t>
            </w:r>
          </w:p>
        </w:tc>
        <w:tc>
          <w:tcPr/>
          <w:p>
            <w:pPr>
              <w:pStyle w:val="Compact"/>
              <w:jc w:val="left"/>
            </w:pPr>
            <w:r>
              <w:t xml:space="preserve">57,600.00</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Preparation of quarterly financial statements, variance analysis, and budget-to-actual reporting for the Financial Analyst engagement covering the period April–May 2025, delivered to the CFO's office in Dubai.</w:t>
            </w:r>
          </w:p>
        </w:tc>
        <w:tc>
          <w:tcPr/>
          <w:p>
            <w:pPr>
              <w:pStyle w:val="Compact"/>
              <w:jc w:val="left"/>
            </w:pPr>
            <w:r>
              <w:t xml:space="preserve">1,200.00</w:t>
            </w:r>
          </w:p>
        </w:tc>
        <w:tc>
          <w:tcPr/>
          <w:p>
            <w:pPr>
              <w:pStyle w:val="Compact"/>
              <w:jc w:val="left"/>
            </w:pPr>
            <w:r>
              <w:t xml:space="preserve">32 hrs</w:t>
            </w:r>
          </w:p>
        </w:tc>
        <w:tc>
          <w:tcPr/>
          <w:p>
            <w:pPr>
              <w:pStyle w:val="Compact"/>
              <w:jc w:val="left"/>
            </w:pPr>
            <w:r>
              <w:t xml:space="preserve">38,400.00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Market research and competitive benchmarking of comparable real estate assets in Dubai and the wider United Arab Emirates, including yield analysis, cap rate comparisons, and risk-adjusted return projections compiled by the Financial Analyst team.</w:t>
            </w:r>
          </w:p>
        </w:tc>
        <w:tc>
          <w:tcPr/>
          <w:p>
            <w:pPr>
              <w:pStyle w:val="Compact"/>
              <w:jc w:val="left"/>
            </w:pPr>
            <w:r>
              <w:t xml:space="preserve">1,200.00</w:t>
            </w:r>
          </w:p>
        </w:tc>
        <w:tc>
          <w:tcPr/>
          <w:p>
            <w:pPr>
              <w:pStyle w:val="Compact"/>
              <w:jc w:val="left"/>
            </w:pPr>
            <w:r>
              <w:t xml:space="preserve">24 hrs</w:t>
            </w:r>
          </w:p>
        </w:tc>
        <w:tc>
          <w:tcPr/>
          <w:p>
            <w:pPr>
              <w:pStyle w:val="Compact"/>
              <w:jc w:val="left"/>
            </w:pPr>
            <w:r>
              <w:t xml:space="preserve">28,800.00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Preparation of a board-level investment memorandum and sensitivity analysis for the proposed expansion into the Dubai South free zone, authored by the Senior Financial Analyst and reviewed by the engagement partner.</w:t>
            </w:r>
          </w:p>
        </w:tc>
        <w:tc>
          <w:tcPr/>
          <w:p>
            <w:pPr>
              <w:pStyle w:val="Compact"/>
              <w:jc w:val="left"/>
            </w:pPr>
            <w:r>
              <w:t xml:space="preserve">1,500.00</w:t>
            </w:r>
          </w:p>
        </w:tc>
        <w:tc>
          <w:tcPr/>
          <w:p>
            <w:pPr>
              <w:pStyle w:val="Compact"/>
              <w:jc w:val="left"/>
            </w:pPr>
            <w:r>
              <w:t xml:space="preserve">20 hrs</w:t>
            </w:r>
          </w:p>
        </w:tc>
        <w:tc>
          <w:tcPr/>
          <w:p>
            <w:pPr>
              <w:pStyle w:val="Compact"/>
              <w:jc w:val="left"/>
            </w:pPr>
            <w:r>
              <w:t xml:space="preserve">30,000.00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Ad-hoc advisory support to the treasury department regarding foreign exchange hedging strategies for USD-denominated debt facilities, provided by the Financial Analyst on a retainer basis during the engagement period in Dubai.</w:t>
            </w:r>
          </w:p>
        </w:tc>
        <w:tc>
          <w:tcPr/>
          <w:p>
            <w:pPr>
              <w:pStyle w:val="Compact"/>
              <w:jc w:val="left"/>
            </w:pPr>
            <w:r>
              <w:t xml:space="preserve">1,200.00</w:t>
            </w:r>
          </w:p>
        </w:tc>
        <w:tc>
          <w:tcPr/>
          <w:p>
            <w:pPr>
              <w:pStyle w:val="Compact"/>
              <w:jc w:val="left"/>
            </w:pPr>
            <w:r>
              <w:t xml:space="preserve">16 hrs</w:t>
            </w:r>
          </w:p>
        </w:tc>
        <w:tc>
          <w:tcPr/>
          <w:p>
            <w:pPr>
              <w:pStyle w:val="Compact"/>
              <w:jc w:val="left"/>
            </w:pPr>
            <w:r>
              <w:t xml:space="preserve">19,200.00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rPr>
                <w:bCs/>
                <w:b/>
              </w:rPr>
              <w:t xml:space="preserve">174,000.00</w:t>
            </w:r>
          </w:p>
        </w:tc>
      </w:tr>
      <w:tr>
        <w:tc>
          <w:tcPr/>
          <w:p>
            <w:pPr>
              <w:pStyle w:val="Compact"/>
              <w:jc w:val="left"/>
            </w:pPr>
            <w:r>
              <w:t xml:space="preserve">VAT @ 5% (AED)</w:t>
            </w:r>
          </w:p>
        </w:tc>
        <w:tc>
          <w:tcPr/>
          <w:p>
            <w:pPr>
              <w:pStyle w:val="Compact"/>
              <w:jc w:val="right"/>
            </w:pPr>
            <w:r>
              <w:rPr>
                <w:bCs/>
                <w:b/>
              </w:rPr>
              <w:t xml:space="preserve">8,700.00</w:t>
            </w:r>
          </w:p>
        </w:tc>
      </w:tr>
      <w:tr>
        <w:tc>
          <w:tcPr/>
          <w:p>
            <w:pPr>
              <w:pStyle w:val="Compact"/>
              <w:jc w:val="left"/>
            </w:pPr>
            <w:r>
              <w:t xml:space="preserve">Discount – Early Payment (2%)</w:t>
            </w:r>
          </w:p>
        </w:tc>
        <w:tc>
          <w:tcPr/>
          <w:p>
            <w:pPr>
              <w:pStyle w:val="Compact"/>
              <w:jc w:val="right"/>
            </w:pPr>
            <w:r>
              <w:t xml:space="preserve">(3,480.00)</w:t>
            </w:r>
          </w:p>
        </w:tc>
      </w:tr>
      <w:tr>
        <w:tc>
          <w:tcPr/>
          <w:p>
            <w:pPr>
              <w:pStyle w:val="Compact"/>
              <w:jc w:val="left"/>
            </w:pPr>
            <w:r>
              <w:t xml:space="preserve">Grand Total Due (AED)</w:t>
            </w:r>
          </w:p>
        </w:tc>
        <w:tc>
          <w:tcPr/>
          <w:p>
            <w:pPr>
              <w:pStyle w:val="Compact"/>
              <w:jc w:val="right"/>
            </w:pPr>
            <w:r>
              <w:t xml:space="preserve">179,220.00</w:t>
            </w:r>
          </w:p>
        </w:tc>
      </w:tr>
    </w:tbl>
    <w:bookmarkStart w:id="25" w:name="payment-terms-conditions"/>
    <w:p>
      <w:pPr>
        <w:pStyle w:val="Heading3"/>
      </w:pPr>
      <w:r>
        <w:t xml:space="preserve">Payment Terms &amp; Conditions</w:t>
      </w:r>
    </w:p>
    <w:p>
      <w:pPr>
        <w:pStyle w:val="FirstParagraph"/>
      </w:pPr>
      <w:r>
        <w:t xml:space="preserve">This Invoice is issued by Meridian Capital Advisory LLC, a company duly registered in Dubai, United Arab Emirates, for professional Financial Analyst services rendered to Al Noor Real Estate Development FZE. Payment of the full amount of AED 179,220.00 (One Hundred Seventy-Nine Thousand Two Hundred and Twenty Dirhams only) is due within fourteen (14) calendar days from the date of issue, i.e., on or before 30 June 2025.</w:t>
      </w:r>
    </w:p>
    <w:p>
      <w:pPr>
        <w:pStyle w:val="BodyText"/>
      </w:pPr>
      <w:r>
        <w:t xml:space="preserve">Payment shall be made via bank transfer to the account detailed below. Please quote the Invoice number MCA-2025-00472 in the payment reference field. Late payments shall attract a penalty of 1.5% per month as per the Federal Decree-Law No. 5 of 2012 on Commercial Transactions in the United Arab Emirates. This Invoice is subject to the terms of the Master Services Agreement dated 01 March 2025 between the parties.</w:t>
      </w:r>
    </w:p>
    <w:bookmarkEnd w:id="25"/>
    <w:bookmarkStart w:id="26" w:name="bank-remittance-details"/>
    <w:p>
      <w:pPr>
        <w:pStyle w:val="Heading3"/>
      </w:pPr>
      <w:r>
        <w:t xml:space="preserve">Bank Remittance Details</w:t>
      </w:r>
    </w:p>
    <w:p>
      <w:pPr>
        <w:pStyle w:val="FirstParagraph"/>
      </w:pPr>
      <w:r>
        <w:rPr>
          <w:bCs/>
          <w:b/>
        </w:rPr>
        <w:t xml:space="preserve">Bank:</w:t>
      </w:r>
      <w:r>
        <w:t xml:space="preserve"> </w:t>
      </w:r>
      <w:r>
        <w:t xml:space="preserve">Emirates NBD, Main Branch, Dubai, United Arab Emirates</w:t>
      </w:r>
    </w:p>
    <w:p>
      <w:pPr>
        <w:pStyle w:val="BodyText"/>
      </w:pPr>
      <w:r>
        <w:rPr>
          <w:bCs/>
          <w:b/>
        </w:rPr>
        <w:t xml:space="preserve">Account Name:</w:t>
      </w:r>
      <w:r>
        <w:t xml:space="preserve"> </w:t>
      </w:r>
      <w:r>
        <w:t xml:space="preserve">Meridian Capital Advisory LLC</w:t>
      </w:r>
    </w:p>
    <w:p>
      <w:pPr>
        <w:pStyle w:val="BodyText"/>
      </w:pPr>
      <w:r>
        <w:rPr>
          <w:bCs/>
          <w:b/>
        </w:rPr>
        <w:t xml:space="preserve">Account Number:</w:t>
      </w:r>
      <w:r>
        <w:t xml:space="preserve"> </w:t>
      </w:r>
      <w:r>
        <w:t xml:space="preserve">002-0048-2937-5001</w:t>
      </w:r>
    </w:p>
    <w:p>
      <w:pPr>
        <w:pStyle w:val="BodyText"/>
      </w:pPr>
      <w:r>
        <w:rPr>
          <w:bCs/>
          <w:b/>
        </w:rPr>
        <w:t xml:space="preserve">IBAN:</w:t>
      </w:r>
      <w:r>
        <w:t xml:space="preserve"> </w:t>
      </w:r>
      <w:r>
        <w:t xml:space="preserve">AE07002004829375001000</w:t>
      </w:r>
    </w:p>
    <w:p>
      <w:pPr>
        <w:pStyle w:val="BodyText"/>
      </w:pPr>
      <w:r>
        <w:rPr>
          <w:bCs/>
          <w:b/>
        </w:rPr>
        <w:t xml:space="preserve">SWIFT / BIC:</w:t>
      </w:r>
      <w:r>
        <w:t xml:space="preserve"> </w:t>
      </w:r>
      <w:r>
        <w:t xml:space="preserve">EMBAEADN</w:t>
      </w:r>
    </w:p>
    <w:p>
      <w:pPr>
        <w:pStyle w:val="BodyText"/>
      </w:pPr>
      <w:r>
        <w:rPr>
          <w:bCs/>
          <w:b/>
        </w:rPr>
        <w:t xml:space="preserve">Reference:</w:t>
      </w:r>
      <w:r>
        <w:t xml:space="preserve"> </w:t>
      </w:r>
      <w:r>
        <w:t xml:space="preserve">MCA-2025-00472</w:t>
      </w:r>
    </w:p>
    <w:bookmarkEnd w:id="26"/>
    <w:bookmarkStart w:id="27" w:name="important-notes"/>
    <w:p>
      <w:pPr>
        <w:pStyle w:val="Heading4"/>
      </w:pPr>
      <w:r>
        <w:t xml:space="preserve">Important Notes</w:t>
      </w:r>
    </w:p>
    <w:p>
      <w:pPr>
        <w:pStyle w:val="FirstParagraph"/>
      </w:pPr>
      <w:r>
        <w:t xml:space="preserve">All Financial Analyst deliverables referenced in this Invoice have been completed and accepted in writing by the client's CFO prior to the date of issue. The services were performed in full compliance with the regulatory framework of the Dubai Financial Services Authority (DFSA) and the UAE Central Bank guidelines where applicable. This Invoice is valid for a period of ninety (90) days from the date of issue. In the event of any discrepancy, please contact the billing department at billing@meridiancapital.ae within five (5) business days. All disputes shall be governed by the laws of the United Arab Emirates and subject to the exclusive jurisdiction of the Dubai Courts.</w:t>
      </w:r>
    </w:p>
    <w:bookmarkEnd w:id="27"/>
    <w:p>
      <w:pPr>
        <w:pStyle w:val="BodyText"/>
      </w:pPr>
      <w:r>
        <w:t xml:space="preserve">Thank you for engaging Meridian Capital Advisory LLC for your Financial Analyst requirements in Dubai, United Arab Emirates.</w:t>
      </w:r>
    </w:p>
    <w:p>
      <w:pPr>
        <w:pStyle w:val="BodyText"/>
      </w:pPr>
      <w:r>
        <w:t xml:space="preserve">This Invoice was generated electronically and is valid without a physical signature. For verification, please contact our billing office at +971 4 555 0182.</w:t>
      </w:r>
    </w:p>
    <w:p>
      <w:pPr>
        <w:pStyle w:val="BodyText"/>
      </w:pPr>
      <w:r>
        <w:t xml:space="preserve">© 2025 Meridian Capital Advisory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Arab Emirates Dubai</dc:title>
  <dc:creator/>
  <dc:language>en</dc:language>
  <cp:keywords/>
  <dcterms:created xsi:type="dcterms:W3CDTF">2026-10-10T07:35:36Z</dcterms:created>
  <dcterms:modified xsi:type="dcterms:W3CDTF">2026-10-10T07:35:36Z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