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meridian-capital-advisory-group"/>
    <w:p>
      <w:pPr>
        <w:pStyle w:val="Heading1"/>
      </w:pPr>
      <w:r>
        <w:t xml:space="preserve">Meridian Capital Advisory Group</w:t>
      </w:r>
    </w:p>
    <w:p>
      <w:pPr>
        <w:pStyle w:val="FirstParagraph"/>
      </w:pPr>
      <w:r>
        <w:t xml:space="preserve">4500 Wilshire Boulevard, Suite 1200</w:t>
      </w:r>
    </w:p>
    <w:p>
      <w:pPr>
        <w:pStyle w:val="BodyText"/>
      </w:pPr>
      <w:r>
        <w:t xml:space="preserve">Los Angeles, California 90010</w:t>
      </w:r>
    </w:p>
    <w:p>
      <w:pPr>
        <w:pStyle w:val="BodyText"/>
      </w:pPr>
      <w:r>
        <w:t xml:space="preserve">United States</w:t>
      </w:r>
    </w:p>
    <w:p>
      <w:pPr>
        <w:pStyle w:val="BodyText"/>
      </w:pPr>
      <w:r>
        <w:t xml:space="preserve">Tel: (213) 555-0187 | Email: billing@meridiancapital.com</w:t>
      </w:r>
    </w:p>
    <w:p>
      <w:pPr>
        <w:pStyle w:val="BodyText"/>
      </w:pPr>
      <w:r>
        <w:t xml:space="preserve">EIN: 84-2917365</w:t>
      </w:r>
    </w:p>
    <w:bookmarkEnd w:id="20"/>
    <w:bookmarkStart w:id="21" w:name="invoice"/>
    <w:p>
      <w:pPr>
        <w:pStyle w:val="Heading2"/>
      </w:pPr>
      <w:r>
        <w:t xml:space="preserve">INVOICE</w:t>
      </w:r>
    </w:p>
    <w:p>
      <w:pPr>
        <w:pStyle w:val="FirstParagraph"/>
      </w:pPr>
      <w:r>
        <w:t xml:space="preserve">Invoice Number: MCA-2025-0487</w:t>
      </w:r>
    </w:p>
    <w:p>
      <w:pPr>
        <w:pStyle w:val="BodyText"/>
      </w:pPr>
      <w:r>
        <w:t xml:space="preserve">Invoice Date: June 12, 2025</w:t>
      </w:r>
    </w:p>
    <w:p>
      <w:pPr>
        <w:pStyle w:val="BodyText"/>
      </w:pPr>
      <w:r>
        <w:t xml:space="preserve">Due Date: July 12, 2025</w:t>
      </w:r>
    </w:p>
    <w:bookmarkEnd w:id="21"/>
    <w:bookmarkStart w:id="22" w:name="billed-to"/>
    <w:p>
      <w:pPr>
        <w:pStyle w:val="Heading3"/>
      </w:pPr>
      <w:r>
        <w:t xml:space="preserve">Billed To</w:t>
      </w:r>
    </w:p>
    <w:p>
      <w:pPr>
        <w:pStyle w:val="FirstParagraph"/>
      </w:pPr>
      <w:r>
        <w:rPr>
          <w:bCs/>
          <w:b/>
        </w:rPr>
        <w:t xml:space="preserve">Pacific Crest Holdings, LLC</w:t>
      </w:r>
    </w:p>
    <w:p>
      <w:pPr>
        <w:pStyle w:val="BodyText"/>
      </w:pPr>
      <w:r>
        <w:t xml:space="preserve">Attn: Mr. David R. Thornton, Chief Financial Officer</w:t>
      </w:r>
    </w:p>
    <w:p>
      <w:pPr>
        <w:pStyle w:val="BodyText"/>
      </w:pPr>
      <w:r>
        <w:t xml:space="preserve">700 South Grand Avenue, 34th Floor</w:t>
      </w:r>
    </w:p>
    <w:p>
      <w:pPr>
        <w:pStyle w:val="BodyText"/>
      </w:pPr>
      <w:r>
        <w:t xml:space="preserve">Los Angeles, California 90017</w:t>
      </w:r>
    </w:p>
    <w:p>
      <w:pPr>
        <w:pStyle w:val="BodyText"/>
      </w:pPr>
      <w:r>
        <w:t xml:space="preserve">United States</w:t>
      </w:r>
    </w:p>
    <w:p>
      <w:pPr>
        <w:pStyle w:val="BodyText"/>
      </w:pPr>
      <w:r>
        <w:t xml:space="preserve">Client Reference: PCH-FA-2025-Q2</w:t>
      </w:r>
    </w:p>
    <w:bookmarkEnd w:id="22"/>
    <w:bookmarkStart w:id="23" w:name="service-provider"/>
    <w:p>
      <w:pPr>
        <w:pStyle w:val="Heading3"/>
      </w:pPr>
      <w:r>
        <w:t xml:space="preserve">Service Provider</w:t>
      </w:r>
    </w:p>
    <w:p>
      <w:pPr>
        <w:pStyle w:val="FirstParagraph"/>
      </w:pPr>
      <w:r>
        <w:rPr>
          <w:bCs/>
          <w:b/>
        </w:rPr>
        <w:t xml:space="preserve">Dr. Elena M. Vasquez, CFA, CFP</w:t>
      </w:r>
    </w:p>
    <w:p>
      <w:pPr>
        <w:pStyle w:val="BodyText"/>
      </w:pPr>
      <w:r>
        <w:t xml:space="preserve">Senior Financial Analyst</w:t>
      </w:r>
    </w:p>
    <w:p>
      <w:pPr>
        <w:pStyle w:val="BodyText"/>
      </w:pPr>
      <w:r>
        <w:t xml:space="preserve">Meridian Capital Advisory Group</w:t>
      </w:r>
    </w:p>
    <w:p>
      <w:pPr>
        <w:pStyle w:val="BodyText"/>
      </w:pPr>
      <w:r>
        <w:t xml:space="preserve">License No.: CA-FA-2019-4482</w:t>
      </w:r>
    </w:p>
    <w:p>
      <w:pPr>
        <w:pStyle w:val="BodyText"/>
      </w:pPr>
      <w:r>
        <w:t xml:space="preserve">Los Angeles, California, United States</w:t>
      </w:r>
    </w:p>
    <w:bookmarkEnd w:id="23"/>
    <w:bookmarkStart w:id="24" w:name="invoice-details"/>
    <w:p>
      <w:pPr>
        <w:pStyle w:val="Heading3"/>
      </w:pPr>
      <w:r>
        <w:t xml:space="preserve">Invoice Details</w:t>
      </w:r>
    </w:p>
    <w:p>
      <w:pPr>
        <w:pStyle w:val="FirstParagraph"/>
      </w:pPr>
      <w:r>
        <w:t xml:space="preserve">Service Period: April 1 – May 31, 2025</w:t>
      </w:r>
    </w:p>
    <w:p>
      <w:pPr>
        <w:pStyle w:val="BodyText"/>
      </w:pPr>
      <w:r>
        <w:t xml:space="preserve">Engagement Type: Retained Financial Analysis</w:t>
      </w:r>
    </w:p>
    <w:p>
      <w:pPr>
        <w:pStyle w:val="BodyText"/>
      </w:pPr>
      <w:r>
        <w:t xml:space="preserve">Payment Method: Wire Transfer / ACH</w:t>
      </w:r>
    </w:p>
    <w:p>
      <w:pPr>
        <w:pStyle w:val="BodyText"/>
      </w:pPr>
      <w:r>
        <w:t xml:space="preserve">Currency: USD (United States Dollar)</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quarterly financial statement analysis and variance reporting for Pacific Crest Holdings operating divisions. Includes preparation of detailed balance sheet, income statement, and cash flow reconciliation documents.</w:t>
            </w:r>
          </w:p>
        </w:tc>
        <w:tc>
          <w:tcPr/>
          <w:p>
            <w:pPr>
              <w:pStyle w:val="Compact"/>
              <w:jc w:val="left"/>
            </w:pPr>
            <w:r>
              <w:t xml:space="preserve">Apr 7 – Apr 18, 2025</w:t>
            </w:r>
          </w:p>
        </w:tc>
        <w:tc>
          <w:tcPr/>
          <w:p>
            <w:pPr>
              <w:pStyle w:val="Compact"/>
              <w:jc w:val="left"/>
            </w:pPr>
            <w:r>
              <w:t xml:space="preserve">42 hours</w:t>
            </w:r>
          </w:p>
        </w:tc>
        <w:tc>
          <w:tcPr/>
          <w:p>
            <w:pPr>
              <w:pStyle w:val="Compact"/>
              <w:jc w:val="left"/>
            </w:pPr>
            <w:r>
              <w:t xml:space="preserve">$285.00</w:t>
            </w:r>
          </w:p>
        </w:tc>
        <w:tc>
          <w:tcPr/>
          <w:p>
            <w:pPr>
              <w:pStyle w:val="Compact"/>
              <w:jc w:val="left"/>
            </w:pPr>
            <w:r>
              <w:t xml:space="preserve">$11,970.00</w:t>
            </w:r>
          </w:p>
        </w:tc>
      </w:tr>
      <w:tr>
        <w:tc>
          <w:tcPr/>
          <w:p>
            <w:pPr>
              <w:pStyle w:val="Compact"/>
              <w:jc w:val="left"/>
            </w:pPr>
            <w:r>
              <w:t xml:space="preserve">2</w:t>
            </w:r>
          </w:p>
        </w:tc>
        <w:tc>
          <w:tcPr/>
          <w:p>
            <w:pPr>
              <w:pStyle w:val="Compact"/>
              <w:jc w:val="left"/>
            </w:pPr>
            <w:r>
              <w:t xml:space="preserve">Development and delivery of a 90-day forward-looking financial forecasting model incorporating revenue projections, capital expenditure planning, and working capital optimization strategies for the Los Angeles metropolitan market.</w:t>
            </w:r>
          </w:p>
        </w:tc>
        <w:tc>
          <w:tcPr/>
          <w:p>
            <w:pPr>
              <w:pStyle w:val="Compact"/>
              <w:jc w:val="left"/>
            </w:pPr>
            <w:r>
              <w:t xml:space="preserve">Apr 21 – May 2, 2025</w:t>
            </w:r>
          </w:p>
        </w:tc>
        <w:tc>
          <w:tcPr/>
          <w:p>
            <w:pPr>
              <w:pStyle w:val="Compact"/>
              <w:jc w:val="left"/>
            </w:pPr>
            <w:r>
              <w:t xml:space="preserve">36 hours</w:t>
            </w:r>
          </w:p>
        </w:tc>
        <w:tc>
          <w:tcPr/>
          <w:p>
            <w:pPr>
              <w:pStyle w:val="Compact"/>
              <w:jc w:val="left"/>
            </w:pPr>
            <w:r>
              <w:t xml:space="preserve">$285.00</w:t>
            </w:r>
          </w:p>
        </w:tc>
        <w:tc>
          <w:tcPr/>
          <w:p>
            <w:pPr>
              <w:pStyle w:val="Compact"/>
              <w:jc w:val="left"/>
            </w:pPr>
            <w:r>
              <w:t xml:space="preserve">$10,260.00</w:t>
            </w:r>
          </w:p>
        </w:tc>
      </w:tr>
      <w:tr>
        <w:tc>
          <w:tcPr/>
          <w:p>
            <w:pPr>
              <w:pStyle w:val="Compact"/>
              <w:jc w:val="left"/>
            </w:pPr>
            <w:r>
              <w:t xml:space="preserve">3</w:t>
            </w:r>
          </w:p>
        </w:tc>
        <w:tc>
          <w:tcPr/>
          <w:p>
            <w:pPr>
              <w:pStyle w:val="Compact"/>
              <w:jc w:val="left"/>
            </w:pPr>
            <w:r>
              <w:t xml:space="preserve">Portfolio performance evaluation and risk assessment for the client's diversified investment holdings. Includes beta analysis, Sharpe ratio calculations, and sector allocation recommendations aligned with current United States market conditions.</w:t>
            </w:r>
          </w:p>
        </w:tc>
        <w:tc>
          <w:tcPr/>
          <w:p>
            <w:pPr>
              <w:pStyle w:val="Compact"/>
              <w:jc w:val="left"/>
            </w:pPr>
            <w:r>
              <w:t xml:space="preserve">May 5 – May 14, 2025</w:t>
            </w:r>
          </w:p>
        </w:tc>
        <w:tc>
          <w:tcPr/>
          <w:p>
            <w:pPr>
              <w:pStyle w:val="Compact"/>
              <w:jc w:val="left"/>
            </w:pPr>
            <w:r>
              <w:t xml:space="preserve">28 hours</w:t>
            </w:r>
          </w:p>
        </w:tc>
        <w:tc>
          <w:tcPr/>
          <w:p>
            <w:pPr>
              <w:pStyle w:val="Compact"/>
              <w:jc w:val="left"/>
            </w:pPr>
            <w:r>
              <w:t xml:space="preserve">$285.00</w:t>
            </w:r>
          </w:p>
        </w:tc>
        <w:tc>
          <w:tcPr/>
          <w:p>
            <w:pPr>
              <w:pStyle w:val="Compact"/>
              <w:jc w:val="left"/>
            </w:pPr>
            <w:r>
              <w:t xml:space="preserve">$7,980.00</w:t>
            </w:r>
          </w:p>
        </w:tc>
      </w:tr>
      <w:tr>
        <w:tc>
          <w:tcPr/>
          <w:p>
            <w:pPr>
              <w:pStyle w:val="Compact"/>
              <w:jc w:val="left"/>
            </w:pPr>
            <w:r>
              <w:t xml:space="preserve">4</w:t>
            </w:r>
          </w:p>
        </w:tc>
        <w:tc>
          <w:tcPr/>
          <w:p>
            <w:pPr>
              <w:pStyle w:val="Compact"/>
              <w:jc w:val="left"/>
            </w:pPr>
            <w:r>
              <w:t xml:space="preserve">Preparation of a detailed due diligence financial analysis report for the proposed acquisition of a commercial real estate portfolio in the Downtown Los Angeles area. Includes discounted cash flow modeling, sensitivity analysis, and return-on-investment projections.</w:t>
            </w:r>
          </w:p>
        </w:tc>
        <w:tc>
          <w:tcPr/>
          <w:p>
            <w:pPr>
              <w:pStyle w:val="Compact"/>
              <w:jc w:val="left"/>
            </w:pPr>
            <w:r>
              <w:t xml:space="preserve">May 15 – May 26, 2025</w:t>
            </w:r>
          </w:p>
        </w:tc>
        <w:tc>
          <w:tcPr/>
          <w:p>
            <w:pPr>
              <w:pStyle w:val="Compact"/>
              <w:jc w:val="left"/>
            </w:pPr>
            <w:r>
              <w:t xml:space="preserve">52 hours</w:t>
            </w:r>
          </w:p>
        </w:tc>
        <w:tc>
          <w:tcPr/>
          <w:p>
            <w:pPr>
              <w:pStyle w:val="Compact"/>
              <w:jc w:val="left"/>
            </w:pPr>
            <w:r>
              <w:t xml:space="preserve">$285.00</w:t>
            </w:r>
          </w:p>
        </w:tc>
        <w:tc>
          <w:tcPr/>
          <w:p>
            <w:pPr>
              <w:pStyle w:val="Compact"/>
              <w:jc w:val="left"/>
            </w:pPr>
            <w:r>
              <w:t xml:space="preserve">$14,820.00</w:t>
            </w:r>
          </w:p>
        </w:tc>
      </w:tr>
      <w:tr>
        <w:tc>
          <w:tcPr/>
          <w:p>
            <w:pPr>
              <w:pStyle w:val="Compact"/>
              <w:jc w:val="left"/>
            </w:pPr>
            <w:r>
              <w:t xml:space="preserve">5</w:t>
            </w:r>
          </w:p>
        </w:tc>
        <w:tc>
          <w:tcPr/>
          <w:p>
            <w:pPr>
              <w:pStyle w:val="Compact"/>
              <w:jc w:val="left"/>
            </w:pPr>
            <w:r>
              <w:t xml:space="preserve">Executive presentation and board-level briefing on all Financial Analyst findings, recommendations, and strategic financial planning outlook. Includes preparation of visual dashboards, data visualizations, and a 45-page written report delivered to the client's board of directors in Los Angeles.</w:t>
            </w:r>
          </w:p>
        </w:tc>
        <w:tc>
          <w:tcPr/>
          <w:p>
            <w:pPr>
              <w:pStyle w:val="Compact"/>
              <w:jc w:val="left"/>
            </w:pPr>
            <w:r>
              <w:t xml:space="preserve">May 28 – May 31, 2025</w:t>
            </w:r>
          </w:p>
        </w:tc>
        <w:tc>
          <w:tcPr/>
          <w:p>
            <w:pPr>
              <w:pStyle w:val="Compact"/>
              <w:jc w:val="left"/>
            </w:pPr>
            <w:r>
              <w:t xml:space="preserve">16 hours</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6</w:t>
            </w:r>
          </w:p>
        </w:tc>
        <w:tc>
          <w:tcPr/>
          <w:p>
            <w:pPr>
              <w:pStyle w:val="Compact"/>
              <w:jc w:val="left"/>
            </w:pPr>
            <w:r>
              <w:t xml:space="preserve">Regulatory compliance review and tax optimization analysis in accordance with California state tax codes and United States federal tax regulations. Includes identification of applicable deductions, credits, and deferral opportunities for the fiscal year 2025.</w:t>
            </w:r>
          </w:p>
        </w:tc>
        <w:tc>
          <w:tcPr/>
          <w:p>
            <w:pPr>
              <w:pStyle w:val="Compact"/>
              <w:jc w:val="left"/>
            </w:pPr>
            <w:r>
              <w:t xml:space="preserve">May 20 – May 30, 2025</w:t>
            </w:r>
          </w:p>
        </w:tc>
        <w:tc>
          <w:tcPr/>
          <w:p>
            <w:pPr>
              <w:pStyle w:val="Compact"/>
              <w:jc w:val="left"/>
            </w:pPr>
            <w:r>
              <w:t xml:space="preserve">20 hours</w:t>
            </w:r>
          </w:p>
        </w:tc>
        <w:tc>
          <w:tcPr/>
          <w:p>
            <w:pPr>
              <w:pStyle w:val="Compact"/>
              <w:jc w:val="left"/>
            </w:pPr>
            <w:r>
              <w:t xml:space="preserve">$285.00</w:t>
            </w:r>
          </w:p>
        </w:tc>
        <w:tc>
          <w:tcPr/>
          <w:p>
            <w:pPr>
              <w:pStyle w:val="Compact"/>
              <w:jc w:val="left"/>
            </w:pPr>
            <w:r>
              <w:t xml:space="preserve">$5,700.00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$55,290.00</w:t>
            </w:r>
          </w:p>
        </w:tc>
      </w:tr>
      <w:tr>
        <w:tc>
          <w:tcPr/>
          <w:p>
            <w:pPr>
              <w:pStyle w:val="Compact"/>
              <w:jc w:val="left"/>
            </w:pPr>
            <w:r>
              <w:t xml:space="preserve">Applicable Sales Tax (California, 9.5%)</w:t>
            </w:r>
          </w:p>
        </w:tc>
        <w:tc>
          <w:tcPr/>
          <w:p>
            <w:pPr>
              <w:pStyle w:val="Compact"/>
              <w:jc w:val="left"/>
            </w:pPr>
            <w:r>
              <w:t xml:space="preserve">$5,252.55</w:t>
            </w:r>
          </w:p>
        </w:tc>
      </w:tr>
      <w:tr>
        <w:tc>
          <w:tcPr/>
          <w:p>
            <w:pPr>
              <w:pStyle w:val="Compact"/>
              <w:jc w:val="left"/>
            </w:pPr>
            <w:r>
              <w:t xml:space="preserve">Expedited Delivery Surcharge</w:t>
            </w:r>
          </w:p>
        </w:tc>
        <w:tc>
          <w:tcPr/>
          <w:p>
            <w:pPr>
              <w:pStyle w:val="Compact"/>
              <w:jc w:val="left"/>
            </w:pPr>
            <w:r>
              <w:t xml:space="preserve">$450.00</w:t>
            </w:r>
          </w:p>
        </w:tc>
      </w:tr>
      <w:tr>
        <w:tc>
          <w:tcPr/>
          <w:p>
            <w:pPr>
              <w:pStyle w:val="Compact"/>
              <w:jc w:val="left"/>
            </w:pPr>
            <w:r>
              <w:t xml:space="preserve">Client Prepaid Credit (Invoice MCA-2025-0412)</w:t>
            </w:r>
          </w:p>
        </w:tc>
        <w:tc>
          <w:tcPr/>
          <w:p>
            <w:pPr>
              <w:pStyle w:val="Compact"/>
              <w:jc w:val="left"/>
            </w:pPr>
            <w:r>
              <w:t xml:space="preserve">-$2,000.00</w:t>
            </w:r>
          </w:p>
        </w:tc>
      </w:tr>
      <w:tr>
        <w:tc>
          <w:tcPr/>
          <w:p>
            <w:pPr>
              <w:pStyle w:val="Compact"/>
              <w:jc w:val="left"/>
            </w:pPr>
            <w:r>
              <w:t xml:space="preserve">TOTAL AMOUNT DUE</w:t>
            </w:r>
          </w:p>
        </w:tc>
        <w:tc>
          <w:tcPr/>
          <w:p>
            <w:pPr>
              <w:pStyle w:val="Compact"/>
              <w:jc w:val="left"/>
            </w:pPr>
            <w:r>
              <w:t xml:space="preserve">$58,992.55</w:t>
            </w:r>
          </w:p>
        </w:tc>
      </w:tr>
    </w:tbl>
    <w:bookmarkStart w:id="25" w:name="payment-terms-instructions"/>
    <w:p>
      <w:pPr>
        <w:pStyle w:val="Heading3"/>
      </w:pPr>
      <w:r>
        <w:t xml:space="preserve">Payment Terms &amp; Instructions</w:t>
      </w:r>
    </w:p>
    <w:p>
      <w:pPr>
        <w:pStyle w:val="FirstParagraph"/>
      </w:pPr>
      <w:r>
        <w:t xml:space="preserve">This Invoice is payable within thirty (30) calendar days from the Invoice date of June 12, 2025. The full amount of</w:t>
      </w:r>
      <w:r>
        <w:t xml:space="preserve"> </w:t>
      </w:r>
      <w:r>
        <w:rPr>
          <w:bCs/>
          <w:b/>
        </w:rPr>
        <w:t xml:space="preserve">$58,992.55 USD</w:t>
      </w:r>
      <w:r>
        <w:t xml:space="preserve"> </w:t>
      </w:r>
      <w:r>
        <w:t xml:space="preserve">is due no later than</w:t>
      </w:r>
      <w:r>
        <w:t xml:space="preserve"> </w:t>
      </w:r>
      <w:r>
        <w:rPr>
          <w:bCs/>
          <w:b/>
        </w:rPr>
        <w:t xml:space="preserve">July 12, 2025</w:t>
      </w:r>
      <w:r>
        <w:t xml:space="preserve">.</w:t>
      </w:r>
    </w:p>
    <w:p>
      <w:pPr>
        <w:numPr>
          <w:ilvl w:val="0"/>
          <w:numId w:val="1001"/>
        </w:numPr>
        <w:pStyle w:val="Compact"/>
      </w:pPr>
      <w:r>
        <w:rPr>
          <w:bCs/>
          <w:b/>
        </w:rPr>
        <w:t xml:space="preserve">Wire Transfer:</w:t>
      </w:r>
      <w:r>
        <w:t xml:space="preserve"> </w:t>
      </w:r>
      <w:r>
        <w:t xml:space="preserve">First Republic Bank, Los Angeles Branch, California, United States. Routing: 021000021 | Account: 8845-2291-0037 | SWIFT: FRBKUS33</w:t>
      </w:r>
    </w:p>
    <w:p>
      <w:pPr>
        <w:numPr>
          <w:ilvl w:val="0"/>
          <w:numId w:val="1001"/>
        </w:numPr>
        <w:pStyle w:val="Compact"/>
      </w:pPr>
      <w:r>
        <w:rPr>
          <w:bCs/>
          <w:b/>
        </w:rPr>
        <w:t xml:space="preserve">ACH Transfer:</w:t>
      </w:r>
      <w:r>
        <w:t xml:space="preserve"> </w:t>
      </w:r>
      <w:r>
        <w:t xml:space="preserve">Available for United States domestic accounts. Please reference Invoice Number MCA-2025-0487.</w:t>
      </w:r>
    </w:p>
    <w:p>
      <w:pPr>
        <w:numPr>
          <w:ilvl w:val="0"/>
          <w:numId w:val="1001"/>
        </w:numPr>
        <w:pStyle w:val="Compact"/>
      </w:pPr>
      <w:r>
        <w:rPr>
          <w:bCs/>
          <w:b/>
        </w:rPr>
        <w:t xml:space="preserve">Check:</w:t>
      </w:r>
      <w:r>
        <w:t xml:space="preserve"> </w:t>
      </w:r>
      <w:r>
        <w:t xml:space="preserve">Payable to "Meridian Capital Advisory Group," mailed to 4500 Wilshire Boulevard, Suite 1200, Los Angeles, CA 90010, United States.</w:t>
      </w:r>
    </w:p>
    <w:p>
      <w:pPr>
        <w:pStyle w:val="FirstParagraph"/>
      </w:pPr>
      <w:r>
        <w:t xml:space="preserve">A late payment fee of 1.5% per month (18% annualized) will be applied to any outstanding balance after the due date, in accordance with California Commercial Code Section 2808 and the terms of the master service agreement dated January 15, 2025.</w:t>
      </w:r>
    </w:p>
    <w:bookmarkEnd w:id="25"/>
    <w:bookmarkStart w:id="26" w:name="additional-notes-terms"/>
    <w:p>
      <w:pPr>
        <w:pStyle w:val="Heading3"/>
      </w:pPr>
      <w:r>
        <w:t xml:space="preserve">Additional Notes &amp; Terms</w:t>
      </w:r>
    </w:p>
    <w:p>
      <w:pPr>
        <w:pStyle w:val="FirstParagraph"/>
      </w:pPr>
      <w:r>
        <w:t xml:space="preserve">This Invoice represents professional Financial Analyst services rendered by Dr. Elena M. Vasquez, CFA, CFP, in her capacity as a retained Senior Financial Analyst for Meridian Capital Advisory Group, operating in Los Angeles, California, United States. All analyses, forecasts, models, and recommendations contained in the deliverables referenced in this Invoice are the intellectual property of Meridian Capital Advisory Group and are provided solely for the internal use of Pacific Crest Holdings, LLC.</w:t>
      </w:r>
    </w:p>
    <w:p>
      <w:pPr>
        <w:pStyle w:val="BodyText"/>
      </w:pPr>
      <w:r>
        <w:t xml:space="preserve">All financial data, projections, and analytical work products were prepared in strict compliance with the Generally Accepted Accounting Principles (GAAP) as established by the Financial Accounting Standards Board (FASB) and in accordance with the professional standards set forth by the CFA Institute. The Financial Analyst services described herein were performed in Los Angeles, California, and are subject to the jurisdiction of the State of California and the United States federal courts.</w:t>
      </w:r>
    </w:p>
    <w:p>
      <w:pPr>
        <w:pStyle w:val="BodyText"/>
      </w:pPr>
      <w:r>
        <w:t xml:space="preserve">Please retain this Invoice for your corporate tax records. A copy of this Invoice has been filed with our accounting department in Los Angeles and is available upon request. If you have any questions regarding the line items, calculations, or any aspect of this Invoice, please contact our billing office at (213) 555-0187 or billing@meridiancapital.com within fifteen (15) business days of the Invoice date.</w:t>
      </w:r>
    </w:p>
    <w:p>
      <w:pPr>
        <w:pStyle w:val="BodyText"/>
      </w:pPr>
      <w:r>
        <w:t xml:space="preserve">Thank you for your continued partnership. We look forward to providing ongoing Financial Analyst expertise to support your strategic objectives in the Los Angeles and broader United States markets.</w:t>
      </w:r>
    </w:p>
    <w:bookmarkEnd w:id="26"/>
    <w:p>
      <w:pPr>
        <w:pStyle w:val="BodyText"/>
      </w:pPr>
      <w:r>
        <w:t xml:space="preserve">Prepared by: Dr. Elena M. Vasquez, CFA, CFP</w:t>
      </w:r>
      <w:r>
        <w:br/>
      </w:r>
      <w:r>
        <w:t xml:space="preserve">Senior Financial Analyst</w:t>
      </w:r>
      <w:r>
        <w:br/>
      </w:r>
      <w:r>
        <w:t xml:space="preserve">Meridian Capital Advisory Group</w:t>
      </w:r>
    </w:p>
    <w:p>
      <w:pPr>
        <w:pStyle w:val="BodyText"/>
      </w:pPr>
      <w:r>
        <w:t xml:space="preserve">Authorized by: James R. Whitfield</w:t>
      </w:r>
      <w:r>
        <w:br/>
      </w:r>
      <w:r>
        <w:t xml:space="preserve">Managing Partner</w:t>
      </w:r>
      <w:r>
        <w:br/>
      </w:r>
      <w:r>
        <w:t xml:space="preserve">Meridian Capital Advisory Group, Los Angeles</w:t>
      </w:r>
    </w:p>
    <w:p>
      <w:pPr>
        <w:pStyle w:val="BodyText"/>
      </w:pPr>
      <w:r>
        <w:t xml:space="preserve">Meridian Capital Advisory Group | 4500 Wilshire Boulevard, Suite 1200, Los Angeles, CA 90010, United States</w:t>
      </w:r>
    </w:p>
    <w:p>
      <w:pPr>
        <w:pStyle w:val="BodyText"/>
      </w:pPr>
      <w:r>
        <w:t xml:space="preserve">This Invoice was generated electronically and is valid without a physical signature. Invoice MCA-2025-0487 | Page 1 of 1</w:t>
      </w:r>
    </w:p>
    <w:p>
      <w:pPr>
        <w:pStyle w:val="BodyText"/>
      </w:pPr>
      <w:r>
        <w:t xml:space="preserve">© 2025 Meridian Capital Advisory Group. All rights reserved. Financial Analyst services provided in Los Angeles,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United States Los Angeles</dc:title>
  <dc:creator/>
  <dc:language>en</dc:language>
  <cp:keywords/>
  <dcterms:created xsi:type="dcterms:W3CDTF">2026-10-10T07:36:43Z</dcterms:created>
  <dcterms:modified xsi:type="dcterms:W3CDTF">2026-10-10T07:36:43Z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