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financial-advisory-group"/>
    <w:p>
      <w:pPr>
        <w:pStyle w:val="Heading1"/>
      </w:pPr>
      <w:r>
        <w:t xml:space="preserve">Apex Financial Advisory Group</w:t>
      </w:r>
    </w:p>
    <w:p>
      <w:pPr>
        <w:pStyle w:val="FirstParagraph"/>
      </w:pPr>
      <w:r>
        <w:t xml:space="preserve">1200 Biscayne Boulevard, Suite 2400</w:t>
      </w:r>
    </w:p>
    <w:p>
      <w:pPr>
        <w:pStyle w:val="BodyText"/>
      </w:pPr>
      <w:r>
        <w:t xml:space="preserve">Miami, Florida 33132, United States</w:t>
      </w:r>
    </w:p>
    <w:p>
      <w:pPr>
        <w:pStyle w:val="BodyText"/>
      </w:pPr>
      <w:r>
        <w:t xml:space="preserve">Phone: (305) 555-0187</w:t>
      </w:r>
    </w:p>
    <w:p>
      <w:pPr>
        <w:pStyle w:val="BodyText"/>
      </w:pPr>
      <w:r>
        <w:t xml:space="preserve">Email: billing@apexfinancialadvisory.com</w:t>
      </w:r>
    </w:p>
    <w:p>
      <w:pPr>
        <w:pStyle w:val="BodyText"/>
      </w:pPr>
      <w:r>
        <w:t xml:space="preserve">Tax ID (EIN): 82-4471936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Capital Partners LLC</w:t>
      </w:r>
    </w:p>
    <w:p>
      <w:pPr>
        <w:pStyle w:val="BodyText"/>
      </w:pPr>
      <w:r>
        <w:t xml:space="preserve">Attn: Mr. David Richardson, CFO</w:t>
      </w:r>
    </w:p>
    <w:p>
      <w:pPr>
        <w:pStyle w:val="BodyText"/>
      </w:pPr>
      <w:r>
        <w:t xml:space="preserve">3300 Brickell Avenue, Floor 42</w:t>
      </w:r>
    </w:p>
    <w:p>
      <w:pPr>
        <w:pStyle w:val="BodyText"/>
      </w:pPr>
      <w:r>
        <w:t xml:space="preserve">Miami, Florida 33131, United States</w:t>
      </w:r>
    </w:p>
    <w:p>
      <w:pPr>
        <w:pStyle w:val="BodyText"/>
      </w:pPr>
      <w:r>
        <w:t xml:space="preserve">Phone: (305) 555-0243</w:t>
      </w:r>
    </w:p>
    <w:p>
      <w:pPr>
        <w:pStyle w:val="BodyText"/>
      </w:pPr>
      <w:r>
        <w:t xml:space="preserve">Email: d.richardson@meridiancapital.com</w:t>
      </w:r>
    </w:p>
    <w:bookmarkEnd w:id="22"/>
    <w:bookmarkStart w:id="23" w:name="prepared-by"/>
    <w:p>
      <w:pPr>
        <w:pStyle w:val="Heading3"/>
      </w:pPr>
      <w:r>
        <w:t xml:space="preserve">Prepared By</w:t>
      </w:r>
    </w:p>
    <w:p>
      <w:pPr>
        <w:pStyle w:val="FirstParagraph"/>
      </w:pPr>
      <w:r>
        <w:rPr>
          <w:bCs/>
          <w:b/>
        </w:rPr>
        <w:t xml:space="preserve">Sarah M. Castellanos, CFA</w:t>
      </w:r>
    </w:p>
    <w:p>
      <w:pPr>
        <w:pStyle w:val="BodyText"/>
      </w:pPr>
      <w:r>
        <w:t xml:space="preserve">Senior Financial Analyst</w:t>
      </w:r>
    </w:p>
    <w:p>
      <w:pPr>
        <w:pStyle w:val="BodyText"/>
      </w:pPr>
      <w:r>
        <w:t xml:space="preserve">Apex Financial Advisory Group</w:t>
      </w:r>
    </w:p>
    <w:p>
      <w:pPr>
        <w:pStyle w:val="BodyText"/>
      </w:pPr>
      <w:r>
        <w:t xml:space="preserve">Miami, Florida, United States</w:t>
      </w:r>
    </w:p>
    <w:p>
      <w:pPr>
        <w:pStyle w:val="BodyText"/>
      </w:pPr>
      <w:r>
        <w:t xml:space="preserve">License No.: FL-FA-2019-00847</w:t>
      </w:r>
    </w:p>
    <w:p>
      <w:pPr>
        <w:pStyle w:val="BodyText"/>
      </w:pPr>
      <w:r>
        <w:t xml:space="preserve">Phone: (305) 555-0192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Quarterly Financial Statement Analysis and Variance Reporting for Meridian Capital Partners. The Financial Analyst conducted a comprehensive review of income statements, balance sheets, and cash flow projections for Q1 2025, identifying material variances exceeding 5% thresholds and preparing corrective recommendations.</w:t>
            </w:r>
          </w:p>
        </w:tc>
        <w:tc>
          <w:tcPr/>
          <w:p>
            <w:pPr>
              <w:pStyle w:val="Compact"/>
              <w:jc w:val="left"/>
            </w:pPr>
            <w:r>
              <w:t xml:space="preserve">$185.00/hr</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Core Analysis</w:t>
            </w:r>
          </w:p>
        </w:tc>
      </w:tr>
      <w:tr>
        <w:tc>
          <w:tcPr/>
          <w:p>
            <w:pPr>
              <w:pStyle w:val="Compact"/>
              <w:jc w:val="left"/>
            </w:pPr>
            <w:r>
              <w:t xml:space="preserve">2</w:t>
            </w:r>
          </w:p>
        </w:tc>
        <w:tc>
          <w:tcPr/>
          <w:p>
            <w:pPr>
              <w:pStyle w:val="Compact"/>
              <w:jc w:val="left"/>
            </w:pPr>
            <w:r>
              <w:t xml:space="preserve">Portfolio Performance Benchmarking and Risk Assessment. The Financial Analyst evaluated 47 individual holdings against S&amp;P 500, Russell 2000, and MSCI EAFE indices, performing Monte Carlo simulations for downside risk scenarios specific to the Miami metropolitan market conditions.</w:t>
            </w:r>
          </w:p>
        </w:tc>
        <w:tc>
          <w:tcPr/>
          <w:p>
            <w:pPr>
              <w:pStyle w:val="Compact"/>
              <w:jc w:val="left"/>
            </w:pPr>
            <w:r>
              <w:t xml:space="preserve">$185.00/hr</w:t>
            </w:r>
          </w:p>
        </w:tc>
        <w:tc>
          <w:tcPr/>
          <w:p>
            <w:pPr>
              <w:pStyle w:val="Compact"/>
              <w:jc w:val="left"/>
            </w:pPr>
            <w:r>
              <w:t xml:space="preserve">18</w:t>
            </w:r>
          </w:p>
        </w:tc>
        <w:tc>
          <w:tcPr/>
          <w:p>
            <w:pPr>
              <w:pStyle w:val="Compact"/>
              <w:jc w:val="left"/>
            </w:pPr>
            <w:r>
              <w:t xml:space="preserve">$3,330.00</w:t>
            </w:r>
          </w:p>
        </w:tc>
        <w:tc>
          <w:tcPr/>
          <w:p>
            <w:pPr>
              <w:pStyle w:val="Compact"/>
              <w:jc w:val="left"/>
            </w:pPr>
            <w:r>
              <w:t xml:space="preserve">Risk &amp; Portfolio</w:t>
            </w:r>
          </w:p>
        </w:tc>
      </w:tr>
      <w:tr>
        <w:tc>
          <w:tcPr/>
          <w:p>
            <w:pPr>
              <w:pStyle w:val="Compact"/>
              <w:jc w:val="left"/>
            </w:pPr>
            <w:r>
              <w:t xml:space="preserve">3</w:t>
            </w:r>
          </w:p>
        </w:tc>
        <w:tc>
          <w:tcPr/>
          <w:p>
            <w:pPr>
              <w:pStyle w:val="Compact"/>
              <w:jc w:val="left"/>
            </w:pPr>
            <w:r>
              <w:t xml:space="preserve">Capital Expenditure Forecasting and Budget Modeling. Development of a 36-month capital allocation model incorporating projected interest rate movements from the Federal Reserve, Miami real estate market trends, and anticipated regulatory changes in Florida financial services legislation.</w:t>
            </w:r>
          </w:p>
        </w:tc>
        <w:tc>
          <w:tcPr/>
          <w:p>
            <w:pPr>
              <w:pStyle w:val="Compact"/>
              <w:jc w:val="left"/>
            </w:pPr>
            <w:r>
              <w:t xml:space="preserve">$185.00/hr</w:t>
            </w:r>
          </w:p>
        </w:tc>
        <w:tc>
          <w:tcPr/>
          <w:p>
            <w:pPr>
              <w:pStyle w:val="Compact"/>
              <w:jc w:val="left"/>
            </w:pPr>
            <w:r>
              <w:t xml:space="preserve">22</w:t>
            </w:r>
          </w:p>
        </w:tc>
        <w:tc>
          <w:tcPr/>
          <w:p>
            <w:pPr>
              <w:pStyle w:val="Compact"/>
              <w:jc w:val="left"/>
            </w:pPr>
            <w:r>
              <w:t xml:space="preserve">$4,070.00</w:t>
            </w:r>
          </w:p>
        </w:tc>
        <w:tc>
          <w:tcPr/>
          <w:p>
            <w:pPr>
              <w:pStyle w:val="Compact"/>
              <w:jc w:val="left"/>
            </w:pPr>
            <w:r>
              <w:t xml:space="preserve">Forecasting</w:t>
            </w:r>
          </w:p>
        </w:tc>
      </w:tr>
      <w:tr>
        <w:tc>
          <w:tcPr/>
          <w:p>
            <w:pPr>
              <w:pStyle w:val="Compact"/>
              <w:jc w:val="left"/>
            </w:pPr>
            <w:r>
              <w:t xml:space="preserve">4</w:t>
            </w:r>
          </w:p>
        </w:tc>
        <w:tc>
          <w:tcPr/>
          <w:p>
            <w:pPr>
              <w:pStyle w:val="Compact"/>
              <w:jc w:val="left"/>
            </w:pPr>
            <w:r>
              <w:t xml:space="preserve">Due Diligence Financial Review – Acquisition Target (Confidential). The Financial Analyst performed a full forensic accounting review of a prospective acquisition target operating in the South Florida hospitality sector, including working capital normalization, EBITDA adjustments, and contingent liability identification.</w:t>
            </w:r>
          </w:p>
        </w:tc>
        <w:tc>
          <w:tcPr/>
          <w:p>
            <w:pPr>
              <w:pStyle w:val="Compact"/>
              <w:jc w:val="left"/>
            </w:pPr>
            <w:r>
              <w:t xml:space="preserve">$210.00/hr</w:t>
            </w:r>
          </w:p>
        </w:tc>
        <w:tc>
          <w:tcPr/>
          <w:p>
            <w:pPr>
              <w:pStyle w:val="Compact"/>
              <w:jc w:val="left"/>
            </w:pPr>
            <w:r>
              <w:t xml:space="preserve">32</w:t>
            </w:r>
          </w:p>
        </w:tc>
        <w:tc>
          <w:tcPr/>
          <w:p>
            <w:pPr>
              <w:pStyle w:val="Compact"/>
              <w:jc w:val="left"/>
            </w:pPr>
            <w:r>
              <w:t xml:space="preserve">$6,720.00</w:t>
            </w:r>
          </w:p>
        </w:tc>
        <w:tc>
          <w:tcPr/>
          <w:p>
            <w:pPr>
              <w:pStyle w:val="Compact"/>
              <w:jc w:val="left"/>
            </w:pPr>
            <w:r>
              <w:t xml:space="preserve">M&amp;A Advisory</w:t>
            </w:r>
          </w:p>
        </w:tc>
      </w:tr>
      <w:tr>
        <w:tc>
          <w:tcPr/>
          <w:p>
            <w:pPr>
              <w:pStyle w:val="Compact"/>
              <w:jc w:val="left"/>
            </w:pPr>
            <w:r>
              <w:t xml:space="preserve">5</w:t>
            </w:r>
          </w:p>
        </w:tc>
        <w:tc>
          <w:tcPr/>
          <w:p>
            <w:pPr>
              <w:pStyle w:val="Compact"/>
              <w:jc w:val="left"/>
            </w:pPr>
            <w:r>
              <w:t xml:space="preserve">Board of Directors Presentation and Executive Briefing. Preparation and delivery of a 45-minute financial performance briefing to the Meridian Capital Partners Board, including Q1 results, pipeline analysis, and strategic recommendations for the second half of fiscal year 2025.</w:t>
            </w:r>
          </w:p>
        </w:tc>
        <w:tc>
          <w:tcPr/>
          <w:p>
            <w:pPr>
              <w:pStyle w:val="Compact"/>
              <w:jc w:val="left"/>
            </w:pPr>
            <w:r>
              <w:t xml:space="preserve">$250.00/hr</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Executive Advisory</w:t>
            </w:r>
          </w:p>
        </w:tc>
      </w:tr>
      <w:tr>
        <w:tc>
          <w:tcPr/>
          <w:p>
            <w:pPr>
              <w:pStyle w:val="Compact"/>
              <w:jc w:val="left"/>
            </w:pPr>
            <w:r>
              <w:t xml:space="preserve">6</w:t>
            </w:r>
          </w:p>
        </w:tc>
        <w:tc>
          <w:tcPr/>
          <w:p>
            <w:pPr>
              <w:pStyle w:val="Compact"/>
              <w:jc w:val="left"/>
            </w:pPr>
            <w:r>
              <w:t xml:space="preserve">Regulatory Compliance Review – SEC and Florida OFR Filings. The Financial Analyst verified all quarterly filings submitted to the Securities and Exchange Commission and the Office of Financial Regulation in the State of Florida, ensuring full compliance with reporting standards applicable to entities operating in the United States Miami financial district.</w:t>
            </w:r>
          </w:p>
        </w:tc>
        <w:tc>
          <w:tcPr/>
          <w:p>
            <w:pPr>
              <w:pStyle w:val="Compact"/>
              <w:jc w:val="left"/>
            </w:pPr>
            <w:r>
              <w:t xml:space="preserve">$185.00/hr</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Compliance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$21,910.00</w:t>
            </w:r>
          </w:p>
        </w:tc>
      </w:tr>
      <w:tr>
        <w:tc>
          <w:tcPr/>
          <w:p>
            <w:pPr>
              <w:pStyle w:val="Compact"/>
              <w:jc w:val="left"/>
            </w:pPr>
            <w:r>
              <w:t xml:space="preserve">Florida State Sales Tax (7.0%)</w:t>
            </w:r>
          </w:p>
        </w:tc>
        <w:tc>
          <w:tcPr/>
          <w:p>
            <w:pPr>
              <w:pStyle w:val="Compact"/>
              <w:jc w:val="left"/>
            </w:pPr>
            <w:r>
              <w:t xml:space="preserve">$1,533.70</w:t>
            </w:r>
          </w:p>
        </w:tc>
      </w:tr>
      <w:tr>
        <w:tc>
          <w:tcPr/>
          <w:p>
            <w:pPr>
              <w:pStyle w:val="Compact"/>
              <w:jc w:val="left"/>
            </w:pPr>
            <w:r>
              <w:t xml:space="preserve">Miami-Dade County Surcharge (1.0%)</w:t>
            </w:r>
          </w:p>
        </w:tc>
        <w:tc>
          <w:tcPr/>
          <w:p>
            <w:pPr>
              <w:pStyle w:val="Compact"/>
              <w:jc w:val="left"/>
            </w:pPr>
            <w:r>
              <w:t xml:space="preserve">$219.10</w:t>
            </w:r>
          </w:p>
        </w:tc>
      </w:tr>
      <w:tr>
        <w:tc>
          <w:tcPr/>
          <w:p>
            <w:pPr>
              <w:pStyle w:val="Compact"/>
              <w:jc w:val="left"/>
            </w:pPr>
            <w:r>
              <w:t xml:space="preserve">Early Payment Discount (2% if paid before June 30, 2025)</w:t>
            </w:r>
          </w:p>
        </w:tc>
        <w:tc>
          <w:tcPr/>
          <w:p>
            <w:pPr>
              <w:pStyle w:val="Compact"/>
              <w:jc w:val="left"/>
            </w:pPr>
            <w:r>
              <w:t xml:space="preserve">($438.20)</w:t>
            </w:r>
          </w:p>
        </w:tc>
      </w:tr>
      <w:tr>
        <w:tc>
          <w:tcPr/>
          <w:p>
            <w:pPr>
              <w:pStyle w:val="Compact"/>
              <w:jc w:val="left"/>
            </w:pPr>
            <w:r>
              <w:t xml:space="preserve">GRAND TOTAL DUE</w:t>
            </w:r>
          </w:p>
        </w:tc>
        <w:tc>
          <w:tcPr/>
          <w:p>
            <w:pPr>
              <w:pStyle w:val="Compact"/>
              <w:jc w:val="left"/>
            </w:pPr>
            <w:r>
              <w:t xml:space="preserve">$23,224.60</w:t>
            </w:r>
          </w:p>
        </w:tc>
      </w:tr>
    </w:tbl>
    <w:bookmarkStart w:id="24" w:name="important-notes-regarding-this-invoice"/>
    <w:p>
      <w:pPr>
        <w:pStyle w:val="Heading3"/>
      </w:pPr>
      <w:r>
        <w:t xml:space="preserve">Important Notes Regarding This Invoice</w:t>
      </w:r>
    </w:p>
    <w:p>
      <w:pPr>
        <w:pStyle w:val="FirstParagraph"/>
      </w:pPr>
      <w:r>
        <w:t xml:space="preserve">This Invoice has been prepared in accordance with the professional services agreement dated March 1, 2025, between Apex Financial Advisory Group and Meridian Capital Partners LLC. All services rendered by the Financial Analyst were performed in full compliance with the American Institute of Certified Public Accountants (AICPA) Code of Professional Conduct and the standards established by the CFA Institute.</w:t>
      </w:r>
    </w:p>
    <w:p>
      <w:pPr>
        <w:pStyle w:val="BodyText"/>
      </w:pPr>
      <w:r>
        <w:t xml:space="preserve">All financial analyses, forecasts, and recommendations contained in the deliverables associated with this Invoice are based on data available as of May 31, 2025, and are subject to the standard disclaimers regarding forward-looking statements. The Financial Analyst has maintained strict independence and has disclosed all potential conflicts of interest in writing to the client's Chief Compliance Officer.</w:t>
      </w:r>
    </w:p>
    <w:p>
      <w:pPr>
        <w:pStyle w:val="BodyText"/>
      </w:pPr>
      <w:r>
        <w:t xml:space="preserve">Services were delivered primarily from our office located at 1200 Biscayne Boulevard, Miami, Florida, United States, with select on-site engagements conducted at the client's Brickell Avenue premises. All work product, including spreadsheets, models, and written reports, has been delivered via the client's secure document management platform.</w:t>
      </w:r>
    </w:p>
    <w:p>
      <w:pPr>
        <w:pStyle w:val="BodyText"/>
      </w:pPr>
      <w:r>
        <w:t xml:space="preserve">Please note that this Invoice reflects professional services only. Any third-party data subscriptions, software licensing fees, or travel expenses incurred during the engagement period are itemized separately on Invoice INV-2025-0488 and are not included in the totals presented herein.</w:t>
      </w:r>
    </w:p>
    <w:bookmarkEnd w:id="24"/>
    <w:bookmarkStart w:id="25" w:name="payment-instructions"/>
    <w:p>
      <w:pPr>
        <w:pStyle w:val="Heading3"/>
      </w:pPr>
      <w:r>
        <w:t xml:space="preserve">Payment Instructions</w:t>
      </w:r>
    </w:p>
    <w:p>
      <w:pPr>
        <w:pStyle w:val="FirstParagraph"/>
      </w:pPr>
      <w:r>
        <w:rPr>
          <w:bCs/>
          <w:b/>
        </w:rPr>
        <w:t xml:space="preserve">Method 1 – Wire Transfer (Recommended):</w:t>
      </w:r>
      <w:r>
        <w:t xml:space="preserve"> </w:t>
      </w:r>
      <w:r>
        <w:t xml:space="preserve">Bank: Bank of America, N.A. | Routing Number: 026009593 | Account Number: ****-7842 | Beneficiary: Apex Financial Advisory Group | Reference: INV-2025-0487</w:t>
      </w:r>
    </w:p>
    <w:p>
      <w:pPr>
        <w:pStyle w:val="BodyText"/>
      </w:pPr>
      <w:r>
        <w:rPr>
          <w:bCs/>
          <w:b/>
        </w:rPr>
        <w:t xml:space="preserve">Method 2 – ACH Debit:</w:t>
      </w:r>
      <w:r>
        <w:t xml:space="preserve"> </w:t>
      </w:r>
      <w:r>
        <w:t xml:space="preserve">Available upon written authorization. Please contact our billing department at (305) 555-0187 to initiate ACH setup.</w:t>
      </w:r>
    </w:p>
    <w:p>
      <w:pPr>
        <w:pStyle w:val="BodyText"/>
      </w:pPr>
      <w:r>
        <w:rPr>
          <w:bCs/>
          <w:b/>
        </w:rPr>
        <w:t xml:space="preserve">Method 3 – Check:</w:t>
      </w:r>
      <w:r>
        <w:t xml:space="preserve"> </w:t>
      </w:r>
      <w:r>
        <w:t xml:space="preserve">Payable to "Apex Financial Advisory Group" and mailed to 1200 Biscayne Boulevard, Suite 2400, Miami, FL 33132, United States.</w:t>
      </w:r>
    </w:p>
    <w:p>
      <w:pPr>
        <w:pStyle w:val="BodyText"/>
      </w:pPr>
      <w:r>
        <w:rPr>
          <w:bCs/>
          <w:b/>
        </w:rPr>
        <w:t xml:space="preserve">Payment Terms:</w:t>
      </w:r>
      <w:r>
        <w:t xml:space="preserve"> </w:t>
      </w:r>
      <w:r>
        <w:t xml:space="preserve">Net 30 days from the date of this Invoice. A late payment fee of 1.5% per month will be applied to any outstanding balance after the due date of July 15, 2025, in accordance with Florida Statutes Chapter 668. Please reference the Invoice number on all remittances.</w:t>
      </w:r>
    </w:p>
    <w:bookmarkEnd w:id="25"/>
    <w:p>
      <w:pPr>
        <w:pStyle w:val="BodyText"/>
      </w:pPr>
      <w:r>
        <w:rPr>
          <w:bCs/>
          <w:b/>
        </w:rPr>
        <w:t xml:space="preserve">Apex Financial Advisory Group</w:t>
      </w:r>
      <w:r>
        <w:t xml:space="preserve"> </w:t>
      </w:r>
      <w:r>
        <w:t xml:space="preserve">| 1200 Biscayne Boulevard, Suite 2400, Miami, Florida 33132, United States</w:t>
      </w:r>
    </w:p>
    <w:p>
      <w:pPr>
        <w:pStyle w:val="BodyText"/>
      </w:pPr>
      <w:r>
        <w:t xml:space="preserve">Phone: (305) 555-0187 | Email: billing@apexfinancialadvisory.com | www.apexfinancialadvisory.com</w:t>
      </w:r>
    </w:p>
    <w:p>
      <w:pPr>
        <w:pStyle w:val="BodyText"/>
      </w:pPr>
      <w:r>
        <w:t xml:space="preserve">This Invoice was generated electronically and is valid without a physical signature. For questions regarding this Invoice or the services of the Financial Analyst, please contact our billing department during business hours (Monday through Friday, 8:00 AM – 6:00 PM EST).</w:t>
      </w:r>
    </w:p>
    <w:p>
      <w:pPr>
        <w:pStyle w:val="BodyText"/>
      </w:pPr>
      <w:r>
        <w:t xml:space="preserve">© 2025 Apex Financial Advisory Group. All rights reserved. This document is the property of Apex Financial Advisory Group and is intended solely for the use of Meridian Capital Partners LLC. Unauthorized reproduction or distribution is prohibited under United States federal and Florida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States Miami</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