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capital-advisory-group"/>
    <w:p>
      <w:pPr>
        <w:pStyle w:val="Heading1"/>
      </w:pPr>
      <w:r>
        <w:t xml:space="preserve">Meridian Capital Advisory Group</w:t>
      </w:r>
    </w:p>
    <w:p>
      <w:pPr>
        <w:pStyle w:val="FirstParagraph"/>
      </w:pPr>
      <w:r>
        <w:t xml:space="preserve">1285 Avenue of the Americas, Suite 4200</w:t>
      </w:r>
    </w:p>
    <w:p>
      <w:pPr>
        <w:pStyle w:val="BodyText"/>
      </w:pPr>
      <w:r>
        <w:t xml:space="preserve">New York, NY 10020, United States</w:t>
      </w:r>
    </w:p>
    <w:p>
      <w:pPr>
        <w:pStyle w:val="BodyText"/>
      </w:pPr>
      <w:r>
        <w:t xml:space="preserve">Tel: (212) 555-0147 | Email: billing@meridiancapitaladvisory.com</w:t>
      </w:r>
    </w:p>
    <w:p>
      <w:pPr>
        <w:pStyle w:val="BodyText"/>
      </w:pPr>
      <w:r>
        <w:t xml:space="preserve">EIN: 84-2917365</w:t>
      </w:r>
    </w:p>
    <w:p>
      <w:pPr>
        <w:pStyle w:val="BodyText"/>
      </w:pPr>
      <w:r>
        <w:t xml:space="preserve">Financial Analyst Services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MCA-2025-00487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
    <w:p>
      <w:pPr>
        <w:pStyle w:val="Heading3"/>
      </w:pPr>
      <w:r>
        <w:t xml:space="preserve">Billed To</w:t>
      </w:r>
    </w:p>
    <w:p>
      <w:pPr>
        <w:pStyle w:val="FirstParagraph"/>
      </w:pPr>
      <w:r>
        <w:rPr>
          <w:bCs/>
          <w:b/>
        </w:rPr>
        <w:t xml:space="preserve">Apex Holdings Corporation</w:t>
      </w:r>
    </w:p>
    <w:p>
      <w:pPr>
        <w:pStyle w:val="BodyText"/>
      </w:pPr>
      <w:r>
        <w:t xml:space="preserve">Attn: Mr. David R. Thornton, CFO</w:t>
      </w:r>
    </w:p>
    <w:p>
      <w:pPr>
        <w:pStyle w:val="BodyText"/>
      </w:pPr>
      <w:r>
        <w:t xml:space="preserve">200 Park Avenue, 38th Floor</w:t>
      </w:r>
    </w:p>
    <w:p>
      <w:pPr>
        <w:pStyle w:val="BodyText"/>
      </w:pPr>
      <w:r>
        <w:t xml:space="preserve">New York, NY 10166, United States</w:t>
      </w:r>
    </w:p>
    <w:p>
      <w:pPr>
        <w:pStyle w:val="BodyText"/>
      </w:pPr>
      <w:r>
        <w:t xml:space="preserve">Tel: (212) 555-0892</w:t>
      </w:r>
    </w:p>
    <w:p>
      <w:pPr>
        <w:pStyle w:val="BodyText"/>
      </w:pPr>
      <w:r>
        <w:t xml:space="preserve">Email: d.thornton@apexholdings.com</w:t>
      </w:r>
    </w:p>
    <w:bookmarkEnd w:id="22"/>
    <w:bookmarkStart w:id="23" w:name="prepared-by"/>
    <w:p>
      <w:pPr>
        <w:pStyle w:val="Heading3"/>
      </w:pPr>
      <w:r>
        <w:t xml:space="preserve">Prepared By</w:t>
      </w:r>
    </w:p>
    <w:p>
      <w:pPr>
        <w:pStyle w:val="FirstParagraph"/>
      </w:pPr>
      <w:r>
        <w:rPr>
          <w:bCs/>
          <w:b/>
        </w:rPr>
        <w:t xml:space="preserve">Sarah K. Mitchell, CFA, CFP</w:t>
      </w:r>
    </w:p>
    <w:p>
      <w:pPr>
        <w:pStyle w:val="BodyText"/>
      </w:pPr>
      <w:r>
        <w:t xml:space="preserve">Senior Financial Analyst</w:t>
      </w:r>
    </w:p>
    <w:p>
      <w:pPr>
        <w:pStyle w:val="BodyText"/>
      </w:pPr>
      <w:r>
        <w:t xml:space="preserve">Meridian Capital Advisory Group</w:t>
      </w:r>
    </w:p>
    <w:p>
      <w:pPr>
        <w:pStyle w:val="BodyText"/>
      </w:pPr>
      <w:r>
        <w:t xml:space="preserve">New York, NY 10020, United States</w:t>
      </w:r>
    </w:p>
    <w:p>
      <w:pPr>
        <w:pStyle w:val="BodyText"/>
      </w:pPr>
      <w:r>
        <w:t xml:space="preserve">Tel: (212) 555-0147</w:t>
      </w:r>
    </w:p>
    <w:p>
      <w:pPr>
        <w:pStyle w:val="BodyText"/>
      </w:pPr>
      <w:r>
        <w:t xml:space="preserve">Email: s.mitchell@meridiancapitaladvisory.com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quarterly financial statement analysis and variance reporting for Apex Holdings Corporation. The Financial Analyst conducted a thorough review of income statements, balance sheets, and cash flow statements for Q1 2025, identifying material variances and providing actionable recommendations to the executive leadership team in United States New York City.</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Development and maintenance of a dynamic financial forecasting model incorporating revenue projections, capital expenditure planning, and sensitivity analysis. The Financial Analyst built a multi-scenario projection model spanning fiscal years 2025 through 2028, tailored to the competitive landscape of the United States New York City metropolitan market.</w:t>
            </w:r>
          </w:p>
        </w:tc>
        <w:tc>
          <w:tcPr/>
          <w:p>
            <w:pPr>
              <w:pStyle w:val="Compact"/>
              <w:jc w:val="left"/>
            </w:pPr>
            <w:r>
              <w:t xml:space="preserve">28.0</w:t>
            </w:r>
          </w:p>
        </w:tc>
        <w:tc>
          <w:tcPr/>
          <w:p>
            <w:pPr>
              <w:pStyle w:val="Compact"/>
              <w:jc w:val="left"/>
            </w:pPr>
            <w:r>
              <w:t xml:space="preserve">$285.00</w:t>
            </w:r>
          </w:p>
        </w:tc>
        <w:tc>
          <w:tcPr/>
          <w:p>
            <w:pPr>
              <w:pStyle w:val="Compact"/>
              <w:jc w:val="left"/>
            </w:pPr>
            <w:r>
              <w:t xml:space="preserve">$7,980.00</w:t>
            </w:r>
          </w:p>
        </w:tc>
      </w:tr>
      <w:tr>
        <w:tc>
          <w:tcPr/>
          <w:p>
            <w:pPr>
              <w:pStyle w:val="Compact"/>
              <w:jc w:val="left"/>
            </w:pPr>
            <w:r>
              <w:t xml:space="preserve">3</w:t>
            </w:r>
          </w:p>
        </w:tc>
        <w:tc>
          <w:tcPr/>
          <w:p>
            <w:pPr>
              <w:pStyle w:val="Compact"/>
              <w:jc w:val="left"/>
            </w:pPr>
            <w:r>
              <w:t xml:space="preserve">Portfolio performance evaluation and risk assessment for the corporate investment portfolio. The Financial Analyst performed a detailed attribution analysis, stress testing, and Monte Carlo simulation to quantify downside risk exposure across equity, fixed-income, and alternative asset classes held by the client.</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4</w:t>
            </w:r>
          </w:p>
        </w:tc>
        <w:tc>
          <w:tcPr/>
          <w:p>
            <w:pPr>
              <w:pStyle w:val="Compact"/>
              <w:jc w:val="left"/>
            </w:pPr>
            <w:r>
              <w:t xml:space="preserve">Preparation of a board-level presentation and executive summary document for the June 2025 board of directors meeting. The Financial Analyst synthesized key performance indicators, market benchmarking data, and strategic financial recommendations into a polished presentation delivered in United States New York City.</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Regulatory compliance review and SEC filing support. The Financial Analyst assisted in the preparation of Schedule 13D disclosures and ensured all financial disclosures met the requirements of the Securities and Exchange Commission as applicable to entities operating in United States New York City and the broader New York metropolitan area.</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6</w:t>
            </w:r>
          </w:p>
        </w:tc>
        <w:tc>
          <w:tcPr/>
          <w:p>
            <w:pPr>
              <w:pStyle w:val="Compact"/>
              <w:jc w:val="left"/>
            </w:pPr>
            <w:r>
              <w:t xml:space="preserve">Ad-hoc financial modeling for a proposed acquisition target. The Financial Analyst constructed a discounted cash flow (DCF) valuation, comparable company analysis, and precedent transaction analysis to support the client's due diligence process for a potential acquisition in the United States New York City commercial real estate sector.</w:t>
            </w:r>
          </w:p>
        </w:tc>
        <w:tc>
          <w:tcPr/>
          <w:p>
            <w:pPr>
              <w:pStyle w:val="Compact"/>
              <w:jc w:val="left"/>
            </w:pPr>
            <w:r>
              <w:t xml:space="preserve">20.0</w:t>
            </w:r>
          </w:p>
        </w:tc>
        <w:tc>
          <w:tcPr/>
          <w:p>
            <w:pPr>
              <w:pStyle w:val="Compact"/>
              <w:jc w:val="left"/>
            </w:pPr>
            <w:r>
              <w:t xml:space="preserve">$285.00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$37,620.00</w:t>
            </w:r>
          </w:p>
        </w:tc>
      </w:tr>
      <w:tr>
        <w:tc>
          <w:tcPr/>
          <w:p>
            <w:pPr>
              <w:pStyle w:val="Compact"/>
              <w:jc w:val="left"/>
            </w:pPr>
            <w:r>
              <w:t xml:space="preserve">Applicable Discount (2% early payment)</w:t>
            </w:r>
          </w:p>
        </w:tc>
        <w:tc>
          <w:tcPr/>
          <w:p>
            <w:pPr>
              <w:pStyle w:val="Compact"/>
              <w:jc w:val="left"/>
            </w:pPr>
            <w:r>
              <w:t xml:space="preserve">($752.40)</w:t>
            </w:r>
          </w:p>
        </w:tc>
      </w:tr>
      <w:tr>
        <w:tc>
          <w:tcPr/>
          <w:p>
            <w:pPr>
              <w:pStyle w:val="Compact"/>
              <w:jc w:val="left"/>
            </w:pPr>
            <w:r>
              <w:t xml:space="preserve">Adjusted Subtotal</w:t>
            </w:r>
          </w:p>
        </w:tc>
        <w:tc>
          <w:tcPr/>
          <w:p>
            <w:pPr>
              <w:pStyle w:val="Compact"/>
              <w:jc w:val="left"/>
            </w:pPr>
            <w:r>
              <w:t xml:space="preserve">$36,867.60</w:t>
            </w:r>
          </w:p>
        </w:tc>
      </w:tr>
      <w:tr>
        <w:tc>
          <w:tcPr/>
          <w:p>
            <w:pPr>
              <w:pStyle w:val="Compact"/>
              <w:jc w:val="left"/>
            </w:pPr>
            <w:r>
              <w:t xml:space="preserve">New York State Sales Tax (8.875%)</w:t>
            </w:r>
          </w:p>
        </w:tc>
        <w:tc>
          <w:tcPr/>
          <w:p>
            <w:pPr>
              <w:pStyle w:val="Compact"/>
              <w:jc w:val="left"/>
            </w:pPr>
            <w:r>
              <w:t xml:space="preserve">$3,272.02</w:t>
            </w:r>
          </w:p>
        </w:tc>
      </w:tr>
      <w:tr>
        <w:tc>
          <w:tcPr/>
          <w:p>
            <w:pPr>
              <w:pStyle w:val="Compact"/>
              <w:jc w:val="left"/>
            </w:pPr>
            <w:r>
              <w:t xml:space="preserve">New York City Sales Tax (0.3%)</w:t>
            </w:r>
          </w:p>
        </w:tc>
        <w:tc>
          <w:tcPr/>
          <w:p>
            <w:pPr>
              <w:pStyle w:val="Compact"/>
              <w:jc w:val="left"/>
            </w:pPr>
            <w:r>
              <w:t xml:space="preserve">$110.60</w:t>
            </w:r>
          </w:p>
        </w:tc>
      </w:tr>
      <w:tr>
        <w:tc>
          <w:tcPr/>
          <w:p>
            <w:pPr>
              <w:pStyle w:val="Compact"/>
              <w:jc w:val="left"/>
            </w:pPr>
            <w:r>
              <w:t xml:space="preserve">Total Amount Due (USD)</w:t>
            </w:r>
          </w:p>
        </w:tc>
        <w:tc>
          <w:tcPr/>
          <w:p>
            <w:pPr>
              <w:pStyle w:val="Compact"/>
              <w:jc w:val="left"/>
            </w:pPr>
            <w:r>
              <w:t xml:space="preserve">$40,250.22</w:t>
            </w:r>
          </w:p>
        </w:tc>
      </w:tr>
    </w:tbl>
    <w:bookmarkStart w:id="24" w:name="invoice-notes-and-service-summary"/>
    <w:p>
      <w:pPr>
        <w:pStyle w:val="Heading3"/>
      </w:pPr>
      <w:r>
        <w:t xml:space="preserve">Invoice Notes and Service Summary</w:t>
      </w:r>
    </w:p>
    <w:p>
      <w:pPr>
        <w:pStyle w:val="FirstParagraph"/>
      </w:pPr>
      <w:r>
        <w:t xml:space="preserve">This Invoice documents the professional services rendered by Meridian Capital Advisory Group's dedicated Financial Analyst team to Apex Holdings Corporation during the service period of May 1 through May 31, 2025. All financial analysis, modeling, forecasting, and advisory work was performed in accordance with the standards established by the CFA Institute and the American Institute of Certified Public Accountants (AICPA).</w:t>
      </w:r>
    </w:p>
    <w:p>
      <w:pPr>
        <w:pStyle w:val="BodyText"/>
      </w:pPr>
      <w:r>
        <w:t xml:space="preserve">The Financial Analyst assigned to this engagement, Sarah K. Mitchell, CFA, CFP, holds over twelve years of experience in corporate finance, investment analysis, and strategic financial planning. All deliverables were produced and reviewed in the firm's principal office located in United States New York City, ensuring compliance with all applicable New York State and New York City financial reporting regulations.</w:t>
      </w:r>
    </w:p>
    <w:p>
      <w:pPr>
        <w:pStyle w:val="BodyText"/>
      </w:pPr>
      <w:r>
        <w:t xml:space="preserve">All figures presented in this Invoice are denominated in United States Dollars (USD). The hourly rate of $285.00 reflects the senior-level expertise of the Financial Analyst and is consistent with prevailing market rates for professional financial advisory services in the United States New York City metropolitan area.</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Net 30 days from the Invoice date (July 15, 2025). Payment received by the due date qualifies for the 2% early payment discount as reflected above.</w:t>
      </w:r>
    </w:p>
    <w:p>
      <w:pPr>
        <w:pStyle w:val="BodyText"/>
      </w:pPr>
      <w:r>
        <w:rPr>
          <w:bCs/>
          <w:b/>
        </w:rPr>
        <w:t xml:space="preserve">Accepted Payment Methods:</w:t>
      </w:r>
      <w:r>
        <w:t xml:space="preserve"> </w:t>
      </w:r>
      <w:r>
        <w:t xml:space="preserve">Wire transfer (ACH), certified check, or corporate check payable to "Meridian Capital Advisory Group."</w:t>
      </w:r>
    </w:p>
    <w:p>
      <w:pPr>
        <w:pStyle w:val="BodyText"/>
      </w:pPr>
      <w:r>
        <w:rPr>
          <w:bCs/>
          <w:b/>
        </w:rPr>
        <w:t xml:space="preserve">Wire Transfer Details:</w:t>
      </w:r>
      <w:r>
        <w:t xml:space="preserve"> </w:t>
      </w:r>
      <w:r>
        <w:t xml:space="preserve">Bank: First Republic Bank, New York, NY | Routing Number: 021000021 | Account Number: 4471-8829-003 | Reference: MCA-2025-00487</w:t>
      </w:r>
    </w:p>
    <w:p>
      <w:pPr>
        <w:pStyle w:val="BodyText"/>
      </w:pPr>
      <w:r>
        <w:rPr>
          <w:bCs/>
          <w:b/>
        </w:rPr>
        <w:t xml:space="preserve">Late Payment:</w:t>
      </w:r>
      <w:r>
        <w:t xml:space="preserve"> </w:t>
      </w:r>
      <w:r>
        <w:t xml:space="preserve">A late fee of 1.5% per month (18% annualized) will be applied to any outstanding balance past the due date, in accordance with New York State commercial transaction statutes.</w:t>
      </w:r>
    </w:p>
    <w:p>
      <w:pPr>
        <w:pStyle w:val="BodyText"/>
      </w:pPr>
      <w:r>
        <w:rPr>
          <w:bCs/>
          <w:b/>
        </w:rPr>
        <w:t xml:space="preserve">Disputes:</w:t>
      </w:r>
      <w:r>
        <w:t xml:space="preserve"> </w:t>
      </w:r>
      <w:r>
        <w:t xml:space="preserve">Any discrepancies regarding this Invoice must be submitted in writing to billing@meridiancapitaladvisory.com within ten (10) business days of the Invoice date. Unresolved disputes will be handled per the arbitration clause in the master services agreement executed in United States New York City.</w:t>
      </w:r>
    </w:p>
    <w:bookmarkEnd w:id="25"/>
    <w:p>
      <w:pPr>
        <w:pStyle w:val="BodyText"/>
      </w:pPr>
      <w:r>
        <w:rPr>
          <w:bCs/>
          <w:b/>
        </w:rPr>
        <w:t xml:space="preserve">Meridian Capital Advisory Group</w:t>
      </w:r>
      <w:r>
        <w:t xml:space="preserve"> </w:t>
      </w:r>
      <w:r>
        <w:t xml:space="preserve">| 1285 Avenue of the Americas, Suite 4200, New York, NY 10020, United States</w:t>
      </w:r>
    </w:p>
    <w:p>
      <w:pPr>
        <w:pStyle w:val="BodyText"/>
      </w:pPr>
      <w:r>
        <w:t xml:space="preserve">This Invoice was generated electronically and is valid without a physical signature. For questions regarding this Invoice or the Financial Analyst services rendered, please contact our billing department at (212) 555-0147.</w:t>
      </w:r>
    </w:p>
    <w:p>
      <w:pPr>
        <w:pStyle w:val="BodyText"/>
      </w:pPr>
      <w:r>
        <w:t xml:space="preserve">Meridian Capital Advisory Group is a registered financial advisory firm operating under the jurisdiction of the New York State Department of Financial Services and the U.S. Securities and Exchange Commission. All services are performed in United States New York City.</w:t>
      </w:r>
    </w:p>
    <w:p>
      <w:pPr>
        <w:pStyle w:val="BodyText"/>
      </w:pPr>
      <w:r>
        <w:t xml:space="preserve">© 2025 Meridian Capital Advisory Group. All rights reserved. Invoice MCA-2025-00487.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States New York City</dc:title>
  <dc:creator/>
  <dc:language>en</dc:language>
  <cp:keywords/>
  <dcterms:created xsi:type="dcterms:W3CDTF">2026-10-10T08:14:06Z</dcterms:created>
  <dcterms:modified xsi:type="dcterms:W3CDTF">2026-10-10T08:14:06Z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