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meridian-analytics-group"/>
    <w:p>
      <w:pPr>
        <w:pStyle w:val="Heading1"/>
      </w:pPr>
      <w:r>
        <w:t xml:space="preserve">Meridian Analytics Group</w:t>
      </w:r>
    </w:p>
    <w:p>
      <w:pPr>
        <w:pStyle w:val="FirstParagraph"/>
      </w:pPr>
      <w:r>
        <w:t xml:space="preserve">Professional Financial Consulting &amp; Advisory</w:t>
      </w:r>
    </w:p>
    <w:p>
      <w:pPr>
        <w:pStyle w:val="BodyText"/>
      </w:pPr>
      <w:r>
        <w:t xml:space="preserve">1455 Market Street, Suite 2800</w:t>
      </w:r>
    </w:p>
    <w:p>
      <w:pPr>
        <w:pStyle w:val="BodyText"/>
      </w:pPr>
      <w:r>
        <w:t xml:space="preserve">San Francisco, California 94103</w:t>
      </w:r>
    </w:p>
    <w:p>
      <w:pPr>
        <w:pStyle w:val="BodyText"/>
      </w:pPr>
      <w:r>
        <w:t xml:space="preserve">United States</w:t>
      </w:r>
    </w:p>
    <w:p>
      <w:pPr>
        <w:pStyle w:val="BodyText"/>
      </w:pPr>
      <w:r>
        <w:t xml:space="preserve">Tel: (415) 555-0192 | Email: billing@meridiananalytics.com</w:t>
      </w:r>
    </w:p>
    <w:p>
      <w:pPr>
        <w:pStyle w:val="BodyText"/>
      </w:pPr>
      <w:r>
        <w:t xml:space="preserve">CA State Board of Accountancy License: #148293</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INV-2025-04782</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Period:</w:t>
      </w:r>
      <w:r>
        <w:t xml:space="preserve"> </w:t>
      </w:r>
      <w:r>
        <w:t xml:space="preserve">May 1 – May 31, 2025</w:t>
      </w:r>
    </w:p>
    <w:p>
      <w:pPr>
        <w:pStyle w:val="BodyText"/>
      </w:pPr>
      <w:r>
        <w:t xml:space="preserve">Payment Due Net 30</w:t>
      </w:r>
    </w:p>
    <w:bookmarkEnd w:id="21"/>
    <w:bookmarkStart w:id="22" w:name="billed-to"/>
    <w:p>
      <w:pPr>
        <w:pStyle w:val="Heading3"/>
      </w:pPr>
      <w:r>
        <w:t xml:space="preserve">Billed To</w:t>
      </w:r>
    </w:p>
    <w:p>
      <w:pPr>
        <w:pStyle w:val="FirstParagraph"/>
      </w:pPr>
      <w:r>
        <w:t xml:space="preserve">Pacific Crest Capital Partners LLC</w:t>
      </w:r>
    </w:p>
    <w:p>
      <w:pPr>
        <w:pStyle w:val="BodyText"/>
      </w:pPr>
      <w:r>
        <w:t xml:space="preserve">Attn: Mr. David Thornton, Chief Financial Officer</w:t>
      </w:r>
    </w:p>
    <w:p>
      <w:pPr>
        <w:pStyle w:val="BodyText"/>
      </w:pPr>
      <w:r>
        <w:t xml:space="preserve">233 Spear Street, Floor 42</w:t>
      </w:r>
    </w:p>
    <w:p>
      <w:pPr>
        <w:pStyle w:val="BodyText"/>
      </w:pPr>
      <w:r>
        <w:t xml:space="preserve">San Francisco, California 94105</w:t>
      </w:r>
    </w:p>
    <w:p>
      <w:pPr>
        <w:pStyle w:val="BodyText"/>
      </w:pPr>
      <w:r>
        <w:t xml:space="preserve">United States</w:t>
      </w:r>
    </w:p>
    <w:p>
      <w:pPr>
        <w:pStyle w:val="BodyText"/>
      </w:pPr>
      <w:r>
        <w:t xml:space="preserve">Tax ID (EIN): 94-2847561</w:t>
      </w:r>
    </w:p>
    <w:bookmarkEnd w:id="22"/>
    <w:bookmarkStart w:id="23" w:name="prepared-by"/>
    <w:p>
      <w:pPr>
        <w:pStyle w:val="Heading3"/>
      </w:pPr>
      <w:r>
        <w:t xml:space="preserve">Prepared By</w:t>
      </w:r>
    </w:p>
    <w:p>
      <w:pPr>
        <w:pStyle w:val="FirstParagraph"/>
      </w:pPr>
      <w:r>
        <w:t xml:space="preserve">Sarah K. Mitchell, CFA, CPA</w:t>
      </w:r>
    </w:p>
    <w:p>
      <w:pPr>
        <w:pStyle w:val="BodyText"/>
      </w:pPr>
      <w:r>
        <w:t xml:space="preserve">Senior Financial Analyst</w:t>
      </w:r>
    </w:p>
    <w:p>
      <w:pPr>
        <w:pStyle w:val="BodyText"/>
      </w:pPr>
      <w:r>
        <w:t xml:space="preserve">Meridian Analytics Group</w:t>
      </w:r>
    </w:p>
    <w:p>
      <w:pPr>
        <w:pStyle w:val="BodyText"/>
      </w:pPr>
      <w:r>
        <w:t xml:space="preserve">San Francisco, California</w:t>
      </w:r>
    </w:p>
    <w:p>
      <w:pPr>
        <w:pStyle w:val="BodyText"/>
      </w:pPr>
      <w:r>
        <w:t xml:space="preserve">United States</w:t>
      </w:r>
    </w:p>
    <w:p>
      <w:pPr>
        <w:pStyle w:val="BodyText"/>
      </w:pPr>
      <w:r>
        <w:t xml:space="preserve">Direct: (415) 555-0192 ext. 407</w:t>
      </w:r>
    </w:p>
    <w:p>
      <w:pPr>
        <w:pStyle w:val="BodyText"/>
      </w:pPr>
      <w:r>
        <w:t xml:space="preserve">Email: s.mitchell@meridiananalytics.com</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Rate</w:t>
            </w:r>
          </w:p>
        </w:tc>
        <w:tc>
          <w:tcPr/>
          <w:p>
            <w:pPr>
              <w:pStyle w:val="Compact"/>
              <w:jc w:val="left"/>
            </w:pPr>
            <w:r>
              <w:t xml:space="preserve">Hours</w:t>
            </w:r>
          </w:p>
        </w:tc>
        <w:tc>
          <w:tcPr/>
          <w:p>
            <w:pPr>
              <w:pStyle w:val="Compact"/>
              <w:jc w:val="left"/>
            </w:pPr>
            <w:r>
              <w:t xml:space="preserve">Amount</w:t>
            </w:r>
          </w:p>
        </w:tc>
        <w:tc>
          <w:tcPr/>
          <w:p>
            <w:pPr>
              <w:pStyle w:val="Compact"/>
              <w:jc w:val="left"/>
            </w:pPr>
            <w:r>
              <w:t xml:space="preserve">Subtotal</w:t>
            </w:r>
          </w:p>
        </w:tc>
      </w:tr>
      <w:tr>
        <w:tc>
          <w:tcPr/>
          <w:p>
            <w:pPr>
              <w:pStyle w:val="Compact"/>
              <w:jc w:val="left"/>
            </w:pPr>
            <w:r>
              <w:t xml:space="preserve">1</w:t>
            </w:r>
          </w:p>
        </w:tc>
        <w:tc>
          <w:tcPr/>
          <w:p>
            <w:pPr>
              <w:pStyle w:val="Compact"/>
              <w:jc w:val="left"/>
            </w:pPr>
            <w:r>
              <w:rPr>
                <w:bCs/>
                <w:b/>
              </w:rPr>
              <w:t xml:space="preserve">Financial Analyst – Quarterly Portfolio Performance Review</w:t>
            </w:r>
            <w:r>
              <w:br/>
            </w:r>
            <w:r>
              <w:t xml:space="preserve">Comprehensive analysis of equity and fixed-income portfolio holdings for Pacific Crest Capital Partners. Includes variance analysis, benchmark comparison, and risk-adjusted return assessment conducted by our Senior Financial Analyst in San Francisco.</w:t>
            </w:r>
          </w:p>
        </w:tc>
        <w:tc>
          <w:tcPr/>
          <w:p>
            <w:pPr>
              <w:pStyle w:val="Compact"/>
              <w:jc w:val="left"/>
            </w:pPr>
            <w:r>
              <w:t xml:space="preserve">$285.00</w:t>
            </w:r>
          </w:p>
        </w:tc>
        <w:tc>
          <w:tcPr/>
          <w:p>
            <w:pPr>
              <w:pStyle w:val="Compact"/>
              <w:jc w:val="left"/>
            </w:pPr>
            <w:r>
              <w:t xml:space="preserve">24.0</w:t>
            </w:r>
          </w:p>
        </w:tc>
        <w:tc>
          <w:tcPr/>
          <w:p>
            <w:pPr>
              <w:pStyle w:val="Compact"/>
              <w:jc w:val="left"/>
            </w:pPr>
            <w:r>
              <w:t xml:space="preserve">$285.00</w:t>
            </w:r>
          </w:p>
        </w:tc>
        <w:tc>
          <w:tcPr/>
          <w:p>
            <w:pPr>
              <w:pStyle w:val="Compact"/>
              <w:jc w:val="left"/>
            </w:pPr>
            <w:r>
              <w:t xml:space="preserve">$6,840.00</w:t>
            </w:r>
          </w:p>
        </w:tc>
      </w:tr>
      <w:tr>
        <w:tc>
          <w:tcPr/>
          <w:p>
            <w:pPr>
              <w:pStyle w:val="Compact"/>
              <w:jc w:val="left"/>
            </w:pPr>
            <w:r>
              <w:t xml:space="preserve">2</w:t>
            </w:r>
          </w:p>
        </w:tc>
        <w:tc>
          <w:tcPr/>
          <w:p>
            <w:pPr>
              <w:pStyle w:val="Compact"/>
              <w:jc w:val="left"/>
            </w:pPr>
            <w:r>
              <w:rPr>
                <w:bCs/>
                <w:b/>
              </w:rPr>
              <w:t xml:space="preserve">Financial Analyst – Cash Flow Forecasting &amp; Liquidity Modeling</w:t>
            </w:r>
            <w:r>
              <w:br/>
            </w:r>
            <w:r>
              <w:t xml:space="preserve">Development of a 12-month rolling cash flow projection model incorporating seasonal adjustments, capital expenditure schedules, and debt service obligations. Prepared by the dedicated Financial Analyst team based in United States San Francisco.</w:t>
            </w:r>
          </w:p>
        </w:tc>
        <w:tc>
          <w:tcPr/>
          <w:p>
            <w:pPr>
              <w:pStyle w:val="Compact"/>
              <w:jc w:val="left"/>
            </w:pPr>
            <w:r>
              <w:t xml:space="preserve">$285.00</w:t>
            </w:r>
          </w:p>
        </w:tc>
        <w:tc>
          <w:tcPr/>
          <w:p>
            <w:pPr>
              <w:pStyle w:val="Compact"/>
              <w:jc w:val="left"/>
            </w:pPr>
            <w:r>
              <w:t xml:space="preserve">18.5</w:t>
            </w:r>
          </w:p>
        </w:tc>
        <w:tc>
          <w:tcPr/>
          <w:p>
            <w:pPr>
              <w:pStyle w:val="Compact"/>
              <w:jc w:val="left"/>
            </w:pPr>
            <w:r>
              <w:t xml:space="preserve">$285.00</w:t>
            </w:r>
          </w:p>
        </w:tc>
        <w:tc>
          <w:tcPr/>
          <w:p>
            <w:pPr>
              <w:pStyle w:val="Compact"/>
              <w:jc w:val="left"/>
            </w:pPr>
            <w:r>
              <w:t xml:space="preserve">$5,272.50</w:t>
            </w:r>
          </w:p>
        </w:tc>
      </w:tr>
      <w:tr>
        <w:tc>
          <w:tcPr/>
          <w:p>
            <w:pPr>
              <w:pStyle w:val="Compact"/>
              <w:jc w:val="left"/>
            </w:pPr>
            <w:r>
              <w:t xml:space="preserve">3</w:t>
            </w:r>
          </w:p>
        </w:tc>
        <w:tc>
          <w:tcPr/>
          <w:p>
            <w:pPr>
              <w:pStyle w:val="Compact"/>
              <w:jc w:val="left"/>
            </w:pPr>
            <w:r>
              <w:rPr>
                <w:bCs/>
                <w:b/>
              </w:rPr>
              <w:t xml:space="preserve">Financial Analyst – Regulatory Compliance &amp; SEC Filing Support</w:t>
            </w:r>
            <w:r>
              <w:br/>
            </w:r>
            <w:r>
              <w:t xml:space="preserve">Assistance with Form 10-Q preparation, reconciliation of financial statements, and verification of disclosures in compliance with SEC regulations applicable to entities operating in United States San Francisco and the broader California market.</w:t>
            </w:r>
          </w:p>
        </w:tc>
        <w:tc>
          <w:tcPr/>
          <w:p>
            <w:pPr>
              <w:pStyle w:val="Compact"/>
              <w:jc w:val="left"/>
            </w:pPr>
            <w:r>
              <w:t xml:space="preserve">$310.00</w:t>
            </w:r>
          </w:p>
        </w:tc>
        <w:tc>
          <w:tcPr/>
          <w:p>
            <w:pPr>
              <w:pStyle w:val="Compact"/>
              <w:jc w:val="left"/>
            </w:pPr>
            <w:r>
              <w:t xml:space="preserve">16.0</w:t>
            </w:r>
          </w:p>
        </w:tc>
        <w:tc>
          <w:tcPr/>
          <w:p>
            <w:pPr>
              <w:pStyle w:val="Compact"/>
              <w:jc w:val="left"/>
            </w:pPr>
            <w:r>
              <w:t xml:space="preserve">$310.00</w:t>
            </w:r>
          </w:p>
        </w:tc>
        <w:tc>
          <w:tcPr/>
          <w:p>
            <w:pPr>
              <w:pStyle w:val="Compact"/>
              <w:jc w:val="left"/>
            </w:pPr>
            <w:r>
              <w:t xml:space="preserve">$4,960.00</w:t>
            </w:r>
          </w:p>
        </w:tc>
      </w:tr>
      <w:tr>
        <w:tc>
          <w:tcPr/>
          <w:p>
            <w:pPr>
              <w:pStyle w:val="Compact"/>
              <w:jc w:val="left"/>
            </w:pPr>
            <w:r>
              <w:t xml:space="preserve">4</w:t>
            </w:r>
          </w:p>
        </w:tc>
        <w:tc>
          <w:tcPr/>
          <w:p>
            <w:pPr>
              <w:pStyle w:val="Compact"/>
              <w:jc w:val="left"/>
            </w:pPr>
            <w:r>
              <w:rPr>
                <w:bCs/>
                <w:b/>
              </w:rPr>
              <w:t xml:space="preserve">Financial Analyst – M&amp;A Due Diligence Advisory</w:t>
            </w:r>
            <w:r>
              <w:br/>
            </w:r>
            <w:r>
              <w:t xml:space="preserve">Financial modeling and valuation support for the proposed acquisition of Bayline Logistics Inc. Includes discounted cash flow analysis, comparable company analysis, and synergy estimation performed by our Financial Analyst division in San Francisco, California.</w:t>
            </w:r>
          </w:p>
        </w:tc>
        <w:tc>
          <w:tcPr/>
          <w:p>
            <w:pPr>
              <w:pStyle w:val="Compact"/>
              <w:jc w:val="left"/>
            </w:pPr>
            <w:r>
              <w:t xml:space="preserve">$340.00</w:t>
            </w:r>
          </w:p>
        </w:tc>
        <w:tc>
          <w:tcPr/>
          <w:p>
            <w:pPr>
              <w:pStyle w:val="Compact"/>
              <w:jc w:val="left"/>
            </w:pPr>
            <w:r>
              <w:t xml:space="preserve">22.0</w:t>
            </w:r>
          </w:p>
        </w:tc>
        <w:tc>
          <w:tcPr/>
          <w:p>
            <w:pPr>
              <w:pStyle w:val="Compact"/>
              <w:jc w:val="left"/>
            </w:pPr>
            <w:r>
              <w:t xml:space="preserve">$340.00</w:t>
            </w:r>
          </w:p>
        </w:tc>
        <w:tc>
          <w:tcPr/>
          <w:p>
            <w:pPr>
              <w:pStyle w:val="Compact"/>
              <w:jc w:val="left"/>
            </w:pPr>
            <w:r>
              <w:t xml:space="preserve">$7,480.00</w:t>
            </w:r>
          </w:p>
        </w:tc>
      </w:tr>
      <w:tr>
        <w:tc>
          <w:tcPr/>
          <w:p>
            <w:pPr>
              <w:pStyle w:val="Compact"/>
              <w:jc w:val="left"/>
            </w:pPr>
            <w:r>
              <w:t xml:space="preserve">5</w:t>
            </w:r>
          </w:p>
        </w:tc>
        <w:tc>
          <w:tcPr/>
          <w:p>
            <w:pPr>
              <w:pStyle w:val="Compact"/>
              <w:jc w:val="left"/>
            </w:pPr>
            <w:r>
              <w:rPr>
                <w:bCs/>
                <w:b/>
              </w:rPr>
              <w:t xml:space="preserve">Financial Analyst – Board Presentation &amp; Executive Briefing</w:t>
            </w:r>
            <w:r>
              <w:br/>
            </w:r>
            <w:r>
              <w:t xml:space="preserve">Preparation and delivery of a comprehensive financial performance briefing to the Board of Directors. Includes executive summary, key performance indicators dashboard, and strategic recommendations. Conducted on-site at the client's San Francisco headquarters.</w:t>
            </w:r>
          </w:p>
        </w:tc>
        <w:tc>
          <w:tcPr/>
          <w:p>
            <w:pPr>
              <w:pStyle w:val="Compact"/>
              <w:jc w:val="left"/>
            </w:pPr>
            <w:r>
              <w:t xml:space="preserve">$310.00</w:t>
            </w:r>
          </w:p>
        </w:tc>
        <w:tc>
          <w:tcPr/>
          <w:p>
            <w:pPr>
              <w:pStyle w:val="Compact"/>
              <w:jc w:val="left"/>
            </w:pPr>
            <w:r>
              <w:t xml:space="preserve">8.0</w:t>
            </w:r>
          </w:p>
        </w:tc>
        <w:tc>
          <w:tcPr/>
          <w:p>
            <w:pPr>
              <w:pStyle w:val="Compact"/>
              <w:jc w:val="left"/>
            </w:pPr>
            <w:r>
              <w:t xml:space="preserve">$310.00</w:t>
            </w:r>
          </w:p>
        </w:tc>
        <w:tc>
          <w:tcPr/>
          <w:p>
            <w:pPr>
              <w:pStyle w:val="Compact"/>
              <w:jc w:val="left"/>
            </w:pPr>
            <w:r>
              <w:t xml:space="preserve">$2,480.00</w:t>
            </w:r>
          </w:p>
        </w:tc>
      </w:tr>
      <w:tr>
        <w:tc>
          <w:tcPr/>
          <w:p>
            <w:pPr>
              <w:pStyle w:val="Compact"/>
              <w:jc w:val="left"/>
            </w:pPr>
            <w:r>
              <w:t xml:space="preserve">6</w:t>
            </w:r>
          </w:p>
        </w:tc>
        <w:tc>
          <w:tcPr/>
          <w:p>
            <w:pPr>
              <w:pStyle w:val="Compact"/>
              <w:jc w:val="left"/>
            </w:pPr>
            <w:r>
              <w:rPr>
                <w:bCs/>
                <w:b/>
              </w:rPr>
              <w:t xml:space="preserve">Financial Analyst – Tax Optimization &amp; California State Tax Advisory</w:t>
            </w:r>
            <w:r>
              <w:br/>
            </w:r>
            <w:r>
              <w:t xml:space="preserve">Review of current tax positions, identification of available deductions under California Revenue and Taxation Code, and preparation of a tax efficiency memo for the fiscal year. Services rendered by our Financial Analyst specializing in United States San Francisco tax jurisdictions.</w:t>
            </w:r>
          </w:p>
        </w:tc>
        <w:tc>
          <w:tcPr/>
          <w:p>
            <w:pPr>
              <w:pStyle w:val="Compact"/>
              <w:jc w:val="left"/>
            </w:pPr>
            <w:r>
              <w:t xml:space="preserve">$295.00</w:t>
            </w:r>
          </w:p>
        </w:tc>
        <w:tc>
          <w:tcPr/>
          <w:p>
            <w:pPr>
              <w:pStyle w:val="Compact"/>
              <w:jc w:val="left"/>
            </w:pPr>
            <w:r>
              <w:t xml:space="preserve">12.0</w:t>
            </w:r>
          </w:p>
        </w:tc>
        <w:tc>
          <w:tcPr/>
          <w:p>
            <w:pPr>
              <w:pStyle w:val="Compact"/>
              <w:jc w:val="left"/>
            </w:pPr>
            <w:r>
              <w:t xml:space="preserve">$295.00</w:t>
            </w:r>
          </w:p>
        </w:tc>
        <w:tc>
          <w:tcPr/>
          <w:p>
            <w:pPr>
              <w:pStyle w:val="Compact"/>
              <w:jc w:val="left"/>
            </w:pPr>
            <w:r>
              <w:t xml:space="preserve">$3,540.00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$30,572.50</w:t>
            </w:r>
          </w:p>
        </w:tc>
      </w:tr>
      <w:tr>
        <w:tc>
          <w:tcPr/>
          <w:p>
            <w:pPr>
              <w:pStyle w:val="Compact"/>
              <w:jc w:val="left"/>
            </w:pPr>
            <w:r>
              <w:t xml:space="preserve">Discount (Early Payment – 2%)</w:t>
            </w:r>
          </w:p>
        </w:tc>
        <w:tc>
          <w:tcPr/>
          <w:p>
            <w:pPr>
              <w:pStyle w:val="Compact"/>
              <w:jc w:val="left"/>
            </w:pPr>
            <w:r>
              <w:t xml:space="preserve">($611.45)</w:t>
            </w:r>
          </w:p>
        </w:tc>
      </w:tr>
      <w:tr>
        <w:tc>
          <w:tcPr/>
          <w:p>
            <w:pPr>
              <w:pStyle w:val="Compact"/>
              <w:jc w:val="left"/>
            </w:pPr>
            <w:r>
              <w:t xml:space="preserve">California Sales Tax (8.63% – San Francisco)</w:t>
            </w:r>
          </w:p>
        </w:tc>
        <w:tc>
          <w:tcPr/>
          <w:p>
            <w:pPr>
              <w:pStyle w:val="Compact"/>
              <w:jc w:val="left"/>
            </w:pPr>
            <w:r>
              <w:t xml:space="preserve">$2,533.98</w:t>
            </w:r>
          </w:p>
        </w:tc>
      </w:tr>
      <w:tr>
        <w:tc>
          <w:tcPr/>
          <w:p>
            <w:pPr>
              <w:pStyle w:val="Compact"/>
              <w:jc w:val="left"/>
            </w:pPr>
            <w:r>
              <w:t xml:space="preserve">San Francisco City &amp; County Tax (1.5%)</w:t>
            </w:r>
          </w:p>
        </w:tc>
        <w:tc>
          <w:tcPr/>
          <w:p>
            <w:pPr>
              <w:pStyle w:val="Compact"/>
              <w:jc w:val="left"/>
            </w:pPr>
            <w:r>
              <w:t xml:space="preserve">$445.99</w:t>
            </w:r>
          </w:p>
        </w:tc>
      </w:tr>
      <w:tr>
        <w:tc>
          <w:tcPr/>
          <w:p>
            <w:pPr>
              <w:pStyle w:val="Compact"/>
              <w:jc w:val="left"/>
            </w:pPr>
            <w:r>
              <w:t xml:space="preserve">Grand Total Due</w:t>
            </w:r>
          </w:p>
        </w:tc>
        <w:tc>
          <w:tcPr/>
          <w:p>
            <w:pPr>
              <w:pStyle w:val="Compact"/>
              <w:jc w:val="left"/>
            </w:pPr>
            <w:r>
              <w:t xml:space="preserve">$32,940.02</w:t>
            </w:r>
          </w:p>
        </w:tc>
      </w:tr>
    </w:tbl>
    <w:bookmarkStart w:id="24" w:name="payment-instructions"/>
    <w:p>
      <w:pPr>
        <w:pStyle w:val="Heading3"/>
      </w:pPr>
      <w:r>
        <w:t xml:space="preserve">Payment Instructions</w:t>
      </w:r>
    </w:p>
    <w:p>
      <w:pPr>
        <w:pStyle w:val="FirstParagraph"/>
      </w:pPr>
      <w:r>
        <w:rPr>
          <w:bCs/>
          <w:b/>
        </w:rPr>
        <w:t xml:space="preserve">Bank Transfer (ACH/Wire):</w:t>
      </w:r>
      <w:r>
        <w:t xml:space="preserve"> </w:t>
      </w:r>
      <w:r>
        <w:t xml:space="preserve">First Republic Bank, San Francisco, CA | Routing: 121000358 | Account: 4482-9917-003 | Reference: INV-2025-04782</w:t>
      </w:r>
    </w:p>
    <w:p>
      <w:pPr>
        <w:pStyle w:val="BodyText"/>
      </w:pPr>
      <w:r>
        <w:rPr>
          <w:bCs/>
          <w:b/>
        </w:rPr>
        <w:t xml:space="preserve">Check:</w:t>
      </w:r>
      <w:r>
        <w:t xml:space="preserve"> </w:t>
      </w:r>
      <w:r>
        <w:t xml:space="preserve">Make payable to "Meridian Analytics Group" and mail to 1455 Market Street, Suite 2800, San Francisco, CA 94103, United States.</w:t>
      </w:r>
    </w:p>
    <w:p>
      <w:pPr>
        <w:pStyle w:val="BodyText"/>
      </w:pPr>
      <w:r>
        <w:rPr>
          <w:bCs/>
          <w:b/>
        </w:rPr>
        <w:t xml:space="preserve">Online Payment:</w:t>
      </w:r>
      <w:r>
        <w:t xml:space="preserve"> </w:t>
      </w:r>
      <w:r>
        <w:t xml:space="preserve">Visit pay.meridiananalytics.com and enter Invoice Number INV-2025-04782.</w:t>
      </w:r>
    </w:p>
    <w:p>
      <w:pPr>
        <w:pStyle w:val="BodyText"/>
      </w:pPr>
      <w:r>
        <w:rPr>
          <w:bCs/>
          <w:b/>
        </w:rPr>
        <w:t xml:space="preserve">Payment Terms:</w:t>
      </w:r>
      <w:r>
        <w:t xml:space="preserve"> </w:t>
      </w:r>
      <w:r>
        <w:t xml:space="preserve">Net 30 days from the Invoice date. A late payment fee of 1.5% per month will be applied to any balance outstanding beyond the due date of July 12, 2025, in accordance with California Commercial Code Section 2310.</w:t>
      </w:r>
    </w:p>
    <w:bookmarkEnd w:id="24"/>
    <w:bookmarkStart w:id="25" w:name="notes-terms"/>
    <w:p>
      <w:pPr>
        <w:pStyle w:val="Heading3"/>
      </w:pPr>
      <w:r>
        <w:t xml:space="preserve">Notes &amp; Terms</w:t>
      </w:r>
    </w:p>
    <w:p>
      <w:pPr>
        <w:pStyle w:val="FirstParagraph"/>
      </w:pPr>
      <w:r>
        <w:t xml:space="preserve">This Invoice is issued by Meridian Analytics Group, a professional services firm headquartered in United States San Francisco, for the engagement of a Senior Financial Analyst and supporting analytical team. All services described herein were performed in accordance with the Master Services Agreement dated January 15, 2025, between the parties.</w:t>
      </w:r>
    </w:p>
    <w:p>
      <w:pPr>
        <w:pStyle w:val="BodyText"/>
      </w:pPr>
      <w:r>
        <w:t xml:space="preserve">The Financial Analyst services rendered during the billing period of May 2025 include but are not limited to portfolio analysis, financial modeling, regulatory compliance support, due diligence advisory, executive presentations, and tax optimization consulting. All work was conducted in compliance with AICPA standards, CFA Institute Code of Ethics, and applicable California and federal regulations.</w:t>
      </w:r>
    </w:p>
    <w:p>
      <w:pPr>
        <w:pStyle w:val="BodyText"/>
      </w:pPr>
      <w:r>
        <w:t xml:space="preserve">Please direct any questions or disputes regarding this Invoice to our billing department at billing@meridiananalytics.com or by telephone at (415) 555-0192 within ten (10) business days of the Invoice date. Failure to respond within this period will be construed as acceptance of the charges listed.</w:t>
      </w:r>
    </w:p>
    <w:p>
      <w:pPr>
        <w:pStyle w:val="BodyText"/>
      </w:pPr>
      <w:r>
        <w:t xml:space="preserve">This Invoice is subject to the terms and conditions outlined in the Master Services Agreement. Governing law for this Invoice and all related services is the law of the State of California, United States. Any disputes shall be resolved through binding arbitration in San Francisco, California, in accordance with the rules of the American Arbitration Association.</w:t>
      </w:r>
    </w:p>
    <w:bookmarkEnd w:id="25"/>
    <w:p>
      <w:pPr>
        <w:pStyle w:val="BodyText"/>
      </w:pPr>
      <w:r>
        <w:rPr>
          <w:bCs/>
          <w:b/>
        </w:rPr>
        <w:t xml:space="preserve">Meridian Analytics Group</w:t>
      </w:r>
      <w:r>
        <w:t xml:space="preserve"> </w:t>
      </w:r>
      <w:r>
        <w:t xml:space="preserve">| 1455 Market Street, Suite 2800, San Francisco, CA 94103, United States</w:t>
      </w:r>
    </w:p>
    <w:p>
      <w:pPr>
        <w:pStyle w:val="BodyText"/>
      </w:pPr>
      <w:r>
        <w:t xml:space="preserve">CA State Board of Accountancy License: #148293 | EIN: 94-7721034</w:t>
      </w:r>
    </w:p>
    <w:p>
      <w:pPr>
        <w:pStyle w:val="BodyText"/>
      </w:pPr>
      <w:r>
        <w:t xml:space="preserve">This Invoice was generated electronically and is valid without a physical signature. Thank you for your business.</w:t>
      </w:r>
    </w:p>
    <w:p>
      <w:pPr>
        <w:pStyle w:val="BodyText"/>
      </w:pPr>
      <w:r>
        <w:t xml:space="preserve">Page 1 of 1 | Invoice INV-2025-04782 | Financial Analyst Services | United States San Francisco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Financial Analyst Services - United States San Francisco</dc:title>
  <dc:creator/>
  <dc:language>en</dc:language>
  <cp:keywords/>
  <dcterms:created xsi:type="dcterms:W3CDTF">2026-10-10T08:08:41Z</dcterms:created>
  <dcterms:modified xsi:type="dcterms:W3CDTF">2026-10-10T08:08:41Z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