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finanalytix-consulting-llp"/>
    <w:p>
      <w:pPr>
        <w:pStyle w:val="Heading1"/>
      </w:pPr>
      <w:r>
        <w:t xml:space="preserve">FinAnalytix Consulting LLP</w:t>
      </w:r>
    </w:p>
    <w:p>
      <w:pPr>
        <w:pStyle w:val="FirstParagraph"/>
      </w:pPr>
      <w:r>
        <w:t xml:space="preserve">12 Amir Temur Avenue, Suite 408</w:t>
      </w:r>
    </w:p>
    <w:p>
      <w:pPr>
        <w:pStyle w:val="BodyText"/>
      </w:pPr>
      <w:r>
        <w:t xml:space="preserve">Tashkent, 100011, Uzbekistan</w:t>
      </w:r>
    </w:p>
    <w:p>
      <w:pPr>
        <w:pStyle w:val="BodyText"/>
      </w:pPr>
      <w:r>
        <w:t xml:space="preserve">Tel: +998 71 200 4567</w:t>
      </w:r>
    </w:p>
    <w:p>
      <w:pPr>
        <w:pStyle w:val="BodyText"/>
      </w:pPr>
      <w:r>
        <w:t xml:space="preserve">Email: billing@finanalytix.uz</w:t>
      </w:r>
    </w:p>
    <w:p>
      <w:pPr>
        <w:pStyle w:val="BodyText"/>
      </w:pPr>
      <w:r>
        <w:t xml:space="preserve">VAT Registration: 200123456</w:t>
      </w:r>
    </w:p>
    <w:bookmarkEnd w:id="20"/>
    <w:bookmarkStart w:id="21" w:name="invoice"/>
    <w:p>
      <w:pPr>
        <w:pStyle w:val="Heading2"/>
      </w:pPr>
      <w:r>
        <w:t xml:space="preserve">INVOICE</w:t>
      </w:r>
    </w:p>
    <w:p>
      <w:pPr>
        <w:pStyle w:val="FirstParagraph"/>
      </w:pPr>
      <w:r>
        <w:t xml:space="preserve">Invoice No: FA-2025-00487</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Uzbekistan National Investment Fund</w:t>
      </w:r>
    </w:p>
    <w:p>
      <w:pPr>
        <w:pStyle w:val="BodyText"/>
      </w:pPr>
      <w:r>
        <w:t xml:space="preserve">Attabek Street 42, Tashkent 100084</w:t>
      </w:r>
    </w:p>
    <w:p>
      <w:pPr>
        <w:pStyle w:val="BodyText"/>
      </w:pPr>
      <w:r>
        <w:t xml:space="preserve">Uzbekistan</w:t>
      </w:r>
    </w:p>
    <w:p>
      <w:pPr>
        <w:pStyle w:val="BodyText"/>
      </w:pPr>
      <w:r>
        <w:t xml:space="preserve">Attn: Mr. Rustam Karimov, Chief Financial Officer</w:t>
      </w:r>
    </w:p>
    <w:p>
      <w:pPr>
        <w:pStyle w:val="BodyText"/>
      </w:pPr>
      <w:r>
        <w:t xml:space="preserve">Client Reference: UNIF-2025-Q2-FA</w:t>
      </w:r>
    </w:p>
    <w:bookmarkEnd w:id="22"/>
    <w:bookmarkStart w:id="23" w:name="service-provider"/>
    <w:p>
      <w:pPr>
        <w:pStyle w:val="Heading3"/>
      </w:pPr>
      <w:r>
        <w:t xml:space="preserve">Service Provider</w:t>
      </w:r>
    </w:p>
    <w:p>
      <w:pPr>
        <w:pStyle w:val="FirstParagraph"/>
      </w:pPr>
      <w:r>
        <w:rPr>
          <w:bCs/>
          <w:b/>
        </w:rPr>
        <w:t xml:space="preserve">FinAnalytix Consulting LLP</w:t>
      </w:r>
    </w:p>
    <w:p>
      <w:pPr>
        <w:pStyle w:val="BodyText"/>
      </w:pPr>
      <w:r>
        <w:t xml:space="preserve">Financial Analyst Division</w:t>
      </w:r>
    </w:p>
    <w:p>
      <w:pPr>
        <w:pStyle w:val="BodyText"/>
      </w:pPr>
      <w:r>
        <w:t xml:space="preserve">Tashkent, Uzbekistan</w:t>
      </w:r>
    </w:p>
    <w:p>
      <w:pPr>
        <w:pStyle w:val="BodyText"/>
      </w:pPr>
      <w:r>
        <w:t xml:space="preserve">Engagement Lead: Dilnoza Yusupova, CFA</w:t>
      </w:r>
    </w:p>
    <w:p>
      <w:pPr>
        <w:pStyle w:val="BodyText"/>
      </w:pPr>
      <w:r>
        <w:t xml:space="preserve">Contract Ref: FA-UNIF-2025-003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(UZS)</w:t>
            </w:r>
          </w:p>
        </w:tc>
        <w:tc>
          <w:tcPr/>
          <w:p>
            <w:pPr>
              <w:pStyle w:val="Compact"/>
              <w:jc w:val="left"/>
            </w:pPr>
            <w:r>
              <w:t xml:space="preserve">Hours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Comprehensive Financial Analyst engagement for quarterly portfolio performance review. The Financial Analyst conducted in-depth variance analysis across 47 investment holdings managed by the Uzbekistan National Investment Fund, identifying material deviations from projected returns and recommending corrective allocation strategies.</w:t>
            </w:r>
          </w:p>
        </w:tc>
        <w:tc>
          <w:tcPr/>
          <w:p>
            <w:pPr>
              <w:pStyle w:val="Compact"/>
              <w:jc w:val="left"/>
            </w:pPr>
            <w:r>
              <w:t xml:space="preserve">Jan – Mar 2025</w:t>
            </w:r>
          </w:p>
        </w:tc>
        <w:tc>
          <w:tcPr/>
          <w:p>
            <w:pPr>
              <w:pStyle w:val="Compact"/>
              <w:jc w:val="left"/>
            </w:pPr>
            <w:r>
              <w:t xml:space="preserve">1,200,000</w:t>
            </w:r>
          </w:p>
        </w:tc>
        <w:tc>
          <w:tcPr/>
          <w:p>
            <w:pPr>
              <w:pStyle w:val="Compact"/>
              <w:jc w:val="left"/>
            </w:pPr>
            <w:r>
              <w:t xml:space="preserve">120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Preparation of detailed financial modeling and forecasting reports. The Financial Analyst developed a 5-year discounted cash flow model incorporating Uzbekistan macroeconomic indicators, including GDP growth projections, inflation rates, and the UZS/USD exchange rate volatility specific to the Tashkent financial market.</w:t>
            </w:r>
          </w:p>
        </w:tc>
        <w:tc>
          <w:tcPr/>
          <w:p>
            <w:pPr>
              <w:pStyle w:val="Compact"/>
              <w:jc w:val="left"/>
            </w:pPr>
            <w:r>
              <w:t xml:space="preserve">Feb – Apr 2025</w:t>
            </w:r>
          </w:p>
        </w:tc>
        <w:tc>
          <w:tcPr/>
          <w:p>
            <w:pPr>
              <w:pStyle w:val="Compact"/>
              <w:jc w:val="left"/>
            </w:pPr>
            <w:r>
              <w:t xml:space="preserve">1,200,000</w:t>
            </w:r>
          </w:p>
        </w:tc>
        <w:tc>
          <w:tcPr/>
          <w:p>
            <w:pPr>
              <w:pStyle w:val="Compact"/>
              <w:jc w:val="left"/>
            </w:pPr>
            <w:r>
              <w:t xml:space="preserve">80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Risk assessment and credit analysis for new investment opportunities in the Uzbekistan Tashkent industrial sector. The Financial Analyst evaluated 12 prospective manufacturing and energy sector projects, producing a risk-weighted return matrix and creditworthiness scoring aligned with Central Bank of Uzbekistan regulatory standards.</w:t>
            </w:r>
          </w:p>
        </w:tc>
        <w:tc>
          <w:tcPr/>
          <w:p>
            <w:pPr>
              <w:pStyle w:val="Compact"/>
              <w:jc w:val="left"/>
            </w:pPr>
            <w:r>
              <w:t xml:space="preserve">Mar – May 2025</w:t>
            </w:r>
          </w:p>
        </w:tc>
        <w:tc>
          <w:tcPr/>
          <w:p>
            <w:pPr>
              <w:pStyle w:val="Compact"/>
              <w:jc w:val="left"/>
            </w:pPr>
            <w:r>
              <w:t xml:space="preserve">1,200,000</w:t>
            </w:r>
          </w:p>
        </w:tc>
        <w:tc>
          <w:tcPr/>
          <w:p>
            <w:pPr>
              <w:pStyle w:val="Compact"/>
              <w:jc w:val="left"/>
            </w:pPr>
            <w:r>
              <w:t xml:space="preserve">96</w:t>
            </w:r>
          </w:p>
        </w:tc>
        <w:tc>
          <w:tcPr/>
          <w:p>
            <w:pPr>
              <w:pStyle w:val="Compact"/>
              <w:jc w:val="left"/>
            </w:pPr>
            <w:r>
              <w:t xml:space="preserve">115,200,000</w:t>
            </w:r>
          </w:p>
        </w:tc>
      </w:tr>
      <w:tr>
        <w:tc>
          <w:tcPr/>
          <w:p>
            <w:pPr>
              <w:pStyle w:val="Compact"/>
              <w:jc w:val="left"/>
            </w:pPr>
            <w:r>
              <w:t xml:space="preserve">4</w:t>
            </w:r>
          </w:p>
        </w:tc>
        <w:tc>
          <w:tcPr/>
          <w:p>
            <w:pPr>
              <w:pStyle w:val="Compact"/>
              <w:jc w:val="left"/>
            </w:pPr>
            <w:r>
              <w:t xml:space="preserve">Regulatory compliance reporting and audit support. The Financial Analyst prepared statutory financial statements and supporting schedules in accordance with International Financial Reporting Standards (IFRS) as adopted in Uzbekistan, and provided on-site support during the external audit conducted in Tashkent.</w:t>
            </w:r>
          </w:p>
        </w:tc>
        <w:tc>
          <w:tcPr/>
          <w:p>
            <w:pPr>
              <w:pStyle w:val="Compact"/>
              <w:jc w:val="left"/>
            </w:pPr>
            <w:r>
              <w:t xml:space="preserve">Apr – Jun 2025</w:t>
            </w:r>
          </w:p>
        </w:tc>
        <w:tc>
          <w:tcPr/>
          <w:p>
            <w:pPr>
              <w:pStyle w:val="Compact"/>
              <w:jc w:val="left"/>
            </w:pPr>
            <w:r>
              <w:t xml:space="preserve">1,200,000</w:t>
            </w:r>
          </w:p>
        </w:tc>
        <w:tc>
          <w:tcPr/>
          <w:p>
            <w:pPr>
              <w:pStyle w:val="Compact"/>
              <w:jc w:val="left"/>
            </w:pPr>
            <w:r>
              <w:t xml:space="preserve">64</w:t>
            </w:r>
          </w:p>
        </w:tc>
        <w:tc>
          <w:tcPr/>
          <w:p>
            <w:pPr>
              <w:pStyle w:val="Compact"/>
              <w:jc w:val="left"/>
            </w:pPr>
            <w:r>
              <w:t xml:space="preserve">76,800,000</w:t>
            </w:r>
          </w:p>
        </w:tc>
      </w:tr>
      <w:tr>
        <w:tc>
          <w:tcPr/>
          <w:p>
            <w:pPr>
              <w:pStyle w:val="Compact"/>
              <w:jc w:val="left"/>
            </w:pPr>
            <w:r>
              <w:t xml:space="preserve">5</w:t>
            </w:r>
          </w:p>
        </w:tc>
        <w:tc>
          <w:tcPr/>
          <w:p>
            <w:pPr>
              <w:pStyle w:val="Compact"/>
              <w:jc w:val="left"/>
            </w:pPr>
            <w:r>
              <w:t xml:space="preserve">Advisory sessions and executive briefing presentations. The Financial Analyst delivered six (6) structured presentations to the Uzbekistan National Investment Fund board of directors, summarizing key financial metrics, market trends in the Tashkent stock exchange, and strategic recommendations for the upcoming fiscal year.</w:t>
            </w:r>
          </w:p>
        </w:tc>
        <w:tc>
          <w:tcPr/>
          <w:p>
            <w:pPr>
              <w:pStyle w:val="Compact"/>
              <w:jc w:val="left"/>
            </w:pPr>
            <w:r>
              <w:t xml:space="preserve">May – Jun 2025</w:t>
            </w:r>
          </w:p>
        </w:tc>
        <w:tc>
          <w:tcPr/>
          <w:p>
            <w:pPr>
              <w:pStyle w:val="Compact"/>
              <w:jc w:val="left"/>
            </w:pPr>
            <w:r>
              <w:t xml:space="preserve">1,500,000</w:t>
            </w:r>
          </w:p>
        </w:tc>
        <w:tc>
          <w:tcPr/>
          <w:p>
            <w:pPr>
              <w:pStyle w:val="Compact"/>
              <w:jc w:val="left"/>
            </w:pPr>
            <w:r>
              <w:t xml:space="preserve">24</w:t>
            </w:r>
          </w:p>
        </w:tc>
        <w:tc>
          <w:tcPr/>
          <w:p>
            <w:pPr>
              <w:pStyle w:val="Compact"/>
              <w:jc w:val="left"/>
            </w:pPr>
            <w:r>
              <w:t xml:space="preserve">36,000,000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468,000,000 UZS</w:t>
            </w:r>
          </w:p>
        </w:tc>
      </w:tr>
      <w:tr>
        <w:tc>
          <w:tcPr/>
          <w:p>
            <w:pPr>
              <w:pStyle w:val="Compact"/>
              <w:jc w:val="left"/>
            </w:pPr>
            <w:r>
              <w:t xml:space="preserve">VAT (12% – Uzbekistan Standard Rate)</w:t>
            </w:r>
          </w:p>
        </w:tc>
        <w:tc>
          <w:tcPr/>
          <w:p>
            <w:pPr>
              <w:pStyle w:val="Compact"/>
              <w:jc w:val="right"/>
            </w:pPr>
            <w:r>
              <w:t xml:space="preserve">56,160,000 UZS</w:t>
            </w:r>
          </w:p>
        </w:tc>
      </w:tr>
      <w:tr>
        <w:tc>
          <w:tcPr/>
          <w:p>
            <w:pPr>
              <w:pStyle w:val="Compact"/>
              <w:jc w:val="left"/>
            </w:pPr>
            <w:r>
              <w:t xml:space="preserve">Discount (Early Payment – 2%)</w:t>
            </w:r>
          </w:p>
        </w:tc>
        <w:tc>
          <w:tcPr/>
          <w:p>
            <w:pPr>
              <w:pStyle w:val="Compact"/>
              <w:jc w:val="right"/>
            </w:pPr>
            <w:r>
              <w:t xml:space="preserve">(9,360,000) UZS</w:t>
            </w:r>
          </w:p>
        </w:tc>
      </w:tr>
      <w:tr>
        <w:tc>
          <w:tcPr/>
          <w:p>
            <w:pPr>
              <w:pStyle w:val="Compact"/>
              <w:jc w:val="left"/>
            </w:pPr>
            <w:r>
              <w:t xml:space="preserve">Grand Total Due</w:t>
            </w:r>
          </w:p>
        </w:tc>
        <w:tc>
          <w:tcPr/>
          <w:p>
            <w:pPr>
              <w:pStyle w:val="Compact"/>
              <w:jc w:val="right"/>
            </w:pPr>
            <w:r>
              <w:t xml:space="preserve">514,800,000 UZS</w:t>
            </w:r>
          </w:p>
        </w:tc>
      </w:tr>
    </w:tbl>
    <w:bookmarkStart w:id="24" w:name="payment-terms-and-instructions"/>
    <w:p>
      <w:pPr>
        <w:pStyle w:val="Heading3"/>
      </w:pPr>
      <w:r>
        <w:t xml:space="preserve">Payment Terms and Instructions</w:t>
      </w:r>
    </w:p>
    <w:p>
      <w:pPr>
        <w:pStyle w:val="FirstParagraph"/>
      </w:pPr>
      <w:r>
        <w:t xml:space="preserve">This Invoice is payable within fifteen (15) calendar days from the date of issue, no later than 30 June 2025. Payment shall be made in Uzbekistan Som (UZS) via bank transfer to the following account:</w:t>
      </w:r>
    </w:p>
    <w:p>
      <w:pPr>
        <w:pStyle w:val="BodyText"/>
      </w:pPr>
      <w:r>
        <w:rPr>
          <w:bCs/>
          <w:b/>
        </w:rPr>
        <w:t xml:space="preserve">Bank:</w:t>
      </w:r>
      <w:r>
        <w:t xml:space="preserve"> </w:t>
      </w:r>
      <w:r>
        <w:t xml:space="preserve">National Bank of Uzbekistan, Tashkent Main Branch</w:t>
      </w:r>
    </w:p>
    <w:p>
      <w:pPr>
        <w:pStyle w:val="BodyText"/>
      </w:pPr>
      <w:r>
        <w:rPr>
          <w:bCs/>
          <w:b/>
        </w:rPr>
        <w:t xml:space="preserve">Account Name:</w:t>
      </w:r>
      <w:r>
        <w:t xml:space="preserve"> </w:t>
      </w:r>
      <w:r>
        <w:t xml:space="preserve">FinAnalytix Consulting LLP</w:t>
      </w:r>
    </w:p>
    <w:p>
      <w:pPr>
        <w:pStyle w:val="BodyText"/>
      </w:pPr>
      <w:r>
        <w:rPr>
          <w:bCs/>
          <w:b/>
        </w:rPr>
        <w:t xml:space="preserve">IBAN:</w:t>
      </w:r>
      <w:r>
        <w:t xml:space="preserve"> </w:t>
      </w:r>
      <w:r>
        <w:t xml:space="preserve">UZ00 NBUZ 9000 0000 0000 0000 0000</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No. FA-2025-00487</w:t>
      </w:r>
    </w:p>
    <w:p>
      <w:pPr>
        <w:pStyle w:val="BodyText"/>
      </w:pPr>
      <w:r>
        <w:t xml:space="preserve">Please note that a late payment penalty of 1.5% per month will be applied to any outstanding balance beyond the due date, in accordance with the commercial contract governing this Financial Analyst engagement in Uzbekistan Tashkent.</w:t>
      </w:r>
    </w:p>
    <w:bookmarkEnd w:id="24"/>
    <w:bookmarkStart w:id="25" w:name="important-notes"/>
    <w:p>
      <w:pPr>
        <w:pStyle w:val="Heading3"/>
      </w:pPr>
      <w:r>
        <w:t xml:space="preserve">Important Notes</w:t>
      </w:r>
    </w:p>
    <w:p>
      <w:pPr>
        <w:pStyle w:val="FirstParagraph"/>
      </w:pPr>
      <w:r>
        <w:t xml:space="preserve">This Invoice covers all Financial Analyst services rendered by FinAnalytix Consulting LLP to the Uzbekistan National Investment Fund during the period of January 2025 through June 2025. All work was performed by a certified Financial Analyst team based in Tashkent, Uzbekistan, and complies with the professional standards set forth by the Uzbekistan Institute of Chartered Accountants.</w:t>
      </w:r>
    </w:p>
    <w:p>
      <w:pPr>
        <w:pStyle w:val="BodyText"/>
      </w:pPr>
      <w:r>
        <w:t xml:space="preserve">The Financial Analyst engagement was conducted in full compliance with the Data Protection Law of the Republic of Uzbekistan and all client confidential information has been handled in accordance with the Non-Disclosure Agreement (NDA) signed on 05 January 2025. All deliverables, including financial models, risk matrices, and board presentations, have been transferred to the client's secure document management system.</w:t>
      </w:r>
    </w:p>
    <w:p>
      <w:pPr>
        <w:pStyle w:val="BodyText"/>
      </w:pPr>
      <w:r>
        <w:t xml:space="preserve">Should the client require additional Financial Analyst services beyond the scope of this Invoice, a separate Statement of Work and revised Invoice will be issued prior to the commencement of any supplementary work. All rates quoted in this Invoice are fixed for the duration of the current contract term and are subject to annual review in accordance with the prevailing economic conditions in Uzbekistan Tashkent.</w:t>
      </w:r>
    </w:p>
    <w:bookmarkEnd w:id="25"/>
    <w:p>
      <w:pPr>
        <w:pStyle w:val="BodyText"/>
      </w:pPr>
      <w:r>
        <w:rPr>
          <w:bCs/>
          <w:b/>
        </w:rPr>
        <w:t xml:space="preserve">Prepared By:</w:t>
      </w:r>
    </w:p>
    <w:p>
      <w:pPr>
        <w:pStyle w:val="BodyText"/>
      </w:pPr>
      <w:r>
        <w:t xml:space="preserve">Dilnoza Yusupova, CFA</w:t>
      </w:r>
    </w:p>
    <w:p>
      <w:pPr>
        <w:pStyle w:val="BodyText"/>
      </w:pPr>
      <w:r>
        <w:t xml:space="preserve">Lead Financial Analyst</w:t>
      </w:r>
    </w:p>
    <w:p>
      <w:pPr>
        <w:pStyle w:val="BodyText"/>
      </w:pPr>
      <w:r>
        <w:t xml:space="preserve">FinAnalytix Consulting LLP</w:t>
      </w:r>
    </w:p>
    <w:p>
      <w:pPr>
        <w:pStyle w:val="BodyText"/>
      </w:pPr>
      <w:r>
        <w:rPr>
          <w:bCs/>
          <w:b/>
        </w:rPr>
        <w:t xml:space="preserve">Authorized By:</w:t>
      </w:r>
    </w:p>
    <w:p>
      <w:pPr>
        <w:pStyle w:val="BodyText"/>
      </w:pPr>
      <w:r>
        <w:t xml:space="preserve">Andrzej Kowalski</w:t>
      </w:r>
    </w:p>
    <w:p>
      <w:pPr>
        <w:pStyle w:val="BodyText"/>
      </w:pPr>
      <w:r>
        <w:t xml:space="preserve">Managing Director</w:t>
      </w:r>
    </w:p>
    <w:p>
      <w:pPr>
        <w:pStyle w:val="BodyText"/>
      </w:pPr>
      <w:r>
        <w:t xml:space="preserve">FinAnalytix Consulting LLP</w:t>
      </w:r>
    </w:p>
    <w:p>
      <w:pPr>
        <w:pStyle w:val="BodyText"/>
      </w:pPr>
      <w:r>
        <w:rPr>
          <w:bCs/>
          <w:b/>
        </w:rPr>
        <w:t xml:space="preserve">Received By:</w:t>
      </w:r>
    </w:p>
    <w:p>
      <w:pPr>
        <w:pStyle w:val="BodyText"/>
      </w:pPr>
      <w:r>
        <w:t xml:space="preserve">Rustam Karimov</w:t>
      </w:r>
    </w:p>
    <w:p>
      <w:pPr>
        <w:pStyle w:val="BodyText"/>
      </w:pPr>
      <w:r>
        <w:t xml:space="preserve">Chief Financial Officer</w:t>
      </w:r>
    </w:p>
    <w:p>
      <w:pPr>
        <w:pStyle w:val="BodyText"/>
      </w:pPr>
      <w:r>
        <w:t xml:space="preserve">Uzbekistan National Investment Fund</w:t>
      </w:r>
    </w:p>
    <w:p>
      <w:pPr>
        <w:pStyle w:val="BodyText"/>
      </w:pPr>
      <w:r>
        <w:t xml:space="preserve">FinAnalytix Consulting LLP | 12 Amir Temur Avenue, Suite 408, Tashkent 100011, Uzbekistan</w:t>
      </w:r>
    </w:p>
    <w:p>
      <w:pPr>
        <w:pStyle w:val="BodyText"/>
      </w:pPr>
      <w:r>
        <w:t xml:space="preserve">Registered with the Ministry of Justice of the Republic of Uzbekistan | License No. 2019-FA-0087</w:t>
      </w:r>
    </w:p>
    <w:p>
      <w:pPr>
        <w:pStyle w:val="BodyText"/>
      </w:pPr>
      <w:r>
        <w:t xml:space="preserve">This Invoice is a legally binding document under the Civil Code of the Republic of Uzbekistan. For any disputes arising from this Invoice, the competent courts of Tashkent City, Uzbekistan shall have exclusive jurisdiction.</w:t>
      </w:r>
    </w:p>
    <w:p>
      <w:pPr>
        <w:pStyle w:val="BodyText"/>
      </w:pPr>
      <w:r>
        <w:t xml:space="preserve">Thank you for engaging our Financial Analyst services. We value our partnership and look forward to continuing to support your financial objectives in Uzbekistan Tashkent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Uzbekistan Tashkent</dc:title>
  <dc:creator/>
  <dc:language>en</dc:language>
  <cp:keywords/>
  <dcterms:created xsi:type="dcterms:W3CDTF">2026-10-10T07:01:47Z</dcterms:created>
  <dcterms:modified xsi:type="dcterms:W3CDTF">2026-10-10T07:01:47Z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