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caracas-financial-advisory-group-c.a."/>
    <w:p>
      <w:pPr>
        <w:pStyle w:val="Heading1"/>
      </w:pPr>
      <w:r>
        <w:t xml:space="preserve">Caracas Financial Advisory Group, C.A.</w:t>
      </w:r>
    </w:p>
    <w:p>
      <w:pPr>
        <w:pStyle w:val="FirstParagraph"/>
      </w:pPr>
      <w:r>
        <w:t xml:space="preserve">Av. Francisco de Miranda, Torre Empresarial, Piso 14</w:t>
      </w:r>
    </w:p>
    <w:p>
      <w:pPr>
        <w:pStyle w:val="BodyText"/>
      </w:pPr>
      <w:r>
        <w:t xml:space="preserve">Chacao, Venezuela Caracas, 1060</w:t>
      </w:r>
    </w:p>
    <w:p>
      <w:pPr>
        <w:pStyle w:val="BodyText"/>
      </w:pPr>
      <w:r>
        <w:t xml:space="preserve">RIF: J-40125876-3</w:t>
      </w:r>
    </w:p>
    <w:p>
      <w:pPr>
        <w:pStyle w:val="BodyText"/>
      </w:pPr>
      <w:r>
        <w:t xml:space="preserve">Phone: +58 (212) 555-0147 | Email: billing@caracasfinancial.com.ve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CFA-2025-00487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Orinoco Energy Holdings, C.A.</w:t>
      </w:r>
    </w:p>
    <w:p>
      <w:pPr>
        <w:pStyle w:val="BodyText"/>
      </w:pPr>
      <w:r>
        <w:t xml:space="preserve">Av. Panteón, Edificio Corporativo, Piso 8</w:t>
      </w:r>
    </w:p>
    <w:p>
      <w:pPr>
        <w:pStyle w:val="BodyText"/>
      </w:pPr>
      <w:r>
        <w:t xml:space="preserve">El Rosal, Venezuela Caracas, 1080</w:t>
      </w:r>
    </w:p>
    <w:p>
      <w:pPr>
        <w:pStyle w:val="BodyText"/>
      </w:pPr>
      <w:r>
        <w:t xml:space="preserve">RIF: J-31567890-1</w:t>
      </w:r>
    </w:p>
    <w:p>
      <w:pPr>
        <w:pStyle w:val="BodyText"/>
      </w:pPr>
      <w:r>
        <w:t xml:space="preserve">Attn: Mr. Ricardo Mendoza, CFO</w:t>
      </w:r>
    </w:p>
    <w:p>
      <w:pPr>
        <w:pStyle w:val="BodyText"/>
      </w:pPr>
      <w:r>
        <w:t xml:space="preserve">Email: r.mendoza@orinocoenergy.com.ve</w:t>
      </w:r>
    </w:p>
    <w:bookmarkEnd w:id="22"/>
    <w:bookmarkStart w:id="23" w:name="service-provider"/>
    <w:p>
      <w:pPr>
        <w:pStyle w:val="Heading3"/>
      </w:pPr>
      <w:r>
        <w:t xml:space="preserve">Service Provider</w:t>
      </w:r>
    </w:p>
    <w:p>
      <w:pPr>
        <w:pStyle w:val="FirstParagraph"/>
      </w:pPr>
      <w:r>
        <w:rPr>
          <w:bCs/>
          <w:b/>
        </w:rPr>
        <w:t xml:space="preserve">Caracas Financial Advisory Group, C.A.</w:t>
      </w:r>
    </w:p>
    <w:p>
      <w:pPr>
        <w:pStyle w:val="BodyText"/>
      </w:pPr>
      <w:r>
        <w:t xml:space="preserve">Lead Financial Analyst: Dra. María Elena Gutiérrez</w:t>
      </w:r>
    </w:p>
    <w:p>
      <w:pPr>
        <w:pStyle w:val="BodyText"/>
      </w:pPr>
      <w:r>
        <w:t xml:space="preserve">Professional License: CPV-2019-4472</w:t>
      </w:r>
    </w:p>
    <w:p>
      <w:pPr>
        <w:pStyle w:val="BodyText"/>
      </w:pPr>
      <w:r>
        <w:t xml:space="preserve">Av. Francisco de Miranda, Torre Empresarial, Piso 14</w:t>
      </w:r>
    </w:p>
    <w:p>
      <w:pPr>
        <w:pStyle w:val="BodyText"/>
      </w:pPr>
      <w:r>
        <w:t xml:space="preserve">Chacao, Venezuela Caracas, 1060</w:t>
      </w:r>
    </w:p>
    <w:p>
      <w:pPr>
        <w:pStyle w:val="BodyText"/>
      </w:pPr>
      <w:r>
        <w:t xml:space="preserve">Email: m.gutierrez@caracasfinancial.com.ve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Period</w:t>
            </w:r>
          </w:p>
        </w:tc>
        <w:tc>
          <w:tcPr/>
          <w:p>
            <w:pPr>
              <w:pStyle w:val="Compact"/>
              <w:jc w:val="left"/>
            </w:pPr>
            <w:r>
              <w:t xml:space="preserve">Rate (USD)</w:t>
            </w:r>
          </w:p>
        </w:tc>
        <w:tc>
          <w:tcPr/>
          <w:p>
            <w:pPr>
              <w:pStyle w:val="Compact"/>
              <w:jc w:val="left"/>
            </w:pPr>
            <w:r>
              <w:t xml:space="preserve">Hours</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Comprehensive Financial Analysis and quarterly performance reporting for Orinoco Energy Holdings. The Financial Analyst conducted a thorough review of income statements, balance sheets, and cash flow projections across all operating divisions in Venezuela Caracas.</w:t>
            </w:r>
          </w:p>
        </w:tc>
        <w:tc>
          <w:tcPr/>
          <w:p>
            <w:pPr>
              <w:pStyle w:val="Compact"/>
              <w:jc w:val="left"/>
            </w:pPr>
            <w:r>
              <w:t xml:space="preserve">Q1 2025</w:t>
            </w:r>
          </w:p>
        </w:tc>
        <w:tc>
          <w:tcPr/>
          <w:p>
            <w:pPr>
              <w:pStyle w:val="Compact"/>
              <w:jc w:val="left"/>
            </w:pPr>
            <w:r>
              <w:t xml:space="preserve">$185.00</w:t>
            </w:r>
          </w:p>
        </w:tc>
        <w:tc>
          <w:tcPr/>
          <w:p>
            <w:pPr>
              <w:pStyle w:val="Compact"/>
              <w:jc w:val="left"/>
            </w:pPr>
            <w:r>
              <w:t xml:space="preserve">40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Budget forecasting and variance analysis. The Financial Analyst prepared detailed budget models incorporating inflation adjustments specific to the Venezuelan economy, currency fluctuation scenarios, and regulatory compliance requirements for operations based in Venezuela Caracas.</w:t>
            </w:r>
          </w:p>
        </w:tc>
        <w:tc>
          <w:tcPr/>
          <w:p>
            <w:pPr>
              <w:pStyle w:val="Compact"/>
              <w:jc w:val="left"/>
            </w:pPr>
            <w:r>
              <w:t xml:space="preserve">Q1 2025</w:t>
            </w:r>
          </w:p>
        </w:tc>
        <w:tc>
          <w:tcPr/>
          <w:p>
            <w:pPr>
              <w:pStyle w:val="Compact"/>
              <w:jc w:val="left"/>
            </w:pPr>
            <w:r>
              <w:t xml:space="preserve">$185.00</w:t>
            </w:r>
          </w:p>
        </w:tc>
        <w:tc>
          <w:tcPr/>
          <w:p>
            <w:pPr>
              <w:pStyle w:val="Compact"/>
              <w:jc w:val="left"/>
            </w:pPr>
            <w:r>
              <w:t xml:space="preserve">32</w:t>
            </w:r>
          </w:p>
        </w:tc>
        <w:tc>
          <w:tcPr/>
          <w:p>
            <w:pPr>
              <w:pStyle w:val="Compact"/>
              <w:jc w:val="left"/>
            </w:pPr>
            <w:r>
              <w:t xml:space="preserve">$5,920.00</w:t>
            </w:r>
          </w:p>
        </w:tc>
      </w:tr>
      <w:tr>
        <w:tc>
          <w:tcPr/>
          <w:p>
            <w:pPr>
              <w:pStyle w:val="Compact"/>
              <w:jc w:val="left"/>
            </w:pPr>
            <w:r>
              <w:t xml:space="preserve">03</w:t>
            </w:r>
          </w:p>
        </w:tc>
        <w:tc>
          <w:tcPr/>
          <w:p>
            <w:pPr>
              <w:pStyle w:val="Compact"/>
              <w:jc w:val="left"/>
            </w:pPr>
            <w:r>
              <w:t xml:space="preserve">Risk assessment and portfolio optimization consulting. The Financial Analyst evaluated exposure to foreign exchange risk, commodity price volatility, and geopolitical factors affecting energy sector investments in Venezuela Caracas. Delivered a 45-page risk mitigation strategy document.</w:t>
            </w:r>
          </w:p>
        </w:tc>
        <w:tc>
          <w:tcPr/>
          <w:p>
            <w:pPr>
              <w:pStyle w:val="Compact"/>
              <w:jc w:val="left"/>
            </w:pPr>
            <w:r>
              <w:t xml:space="preserve">Q1 2025</w:t>
            </w:r>
          </w:p>
        </w:tc>
        <w:tc>
          <w:tcPr/>
          <w:p>
            <w:pPr>
              <w:pStyle w:val="Compact"/>
              <w:jc w:val="left"/>
            </w:pPr>
            <w:r>
              <w:t xml:space="preserve">$210.00</w:t>
            </w:r>
          </w:p>
        </w:tc>
        <w:tc>
          <w:tcPr/>
          <w:p>
            <w:pPr>
              <w:pStyle w:val="Compact"/>
              <w:jc w:val="left"/>
            </w:pPr>
            <w:r>
              <w:t xml:space="preserve">24</w:t>
            </w:r>
          </w:p>
        </w:tc>
        <w:tc>
          <w:tcPr/>
          <w:p>
            <w:pPr>
              <w:pStyle w:val="Compact"/>
              <w:jc w:val="left"/>
            </w:pPr>
            <w:r>
              <w:t xml:space="preserve">$5,040.00</w:t>
            </w:r>
          </w:p>
        </w:tc>
      </w:tr>
      <w:tr>
        <w:tc>
          <w:tcPr/>
          <w:p>
            <w:pPr>
              <w:pStyle w:val="Compact"/>
              <w:jc w:val="left"/>
            </w:pPr>
            <w:r>
              <w:t xml:space="preserve">04</w:t>
            </w:r>
          </w:p>
        </w:tc>
        <w:tc>
          <w:tcPr/>
          <w:p>
            <w:pPr>
              <w:pStyle w:val="Compact"/>
              <w:jc w:val="left"/>
            </w:pPr>
            <w:r>
              <w:t xml:space="preserve">Regulatory compliance review and tax optimization advisory. The Financial Analyst ensured all financial reporting met the standards set by the Superintendencia de la Actividad Aseguradora and the Banco Central de Venezuela. Prepared documentation for the fiscal year 2024 audit in Venezuela Caracas.</w:t>
            </w:r>
          </w:p>
        </w:tc>
        <w:tc>
          <w:tcPr/>
          <w:p>
            <w:pPr>
              <w:pStyle w:val="Compact"/>
              <w:jc w:val="left"/>
            </w:pPr>
            <w:r>
              <w:t xml:space="preserve">Q1 2025</w:t>
            </w:r>
          </w:p>
        </w:tc>
        <w:tc>
          <w:tcPr/>
          <w:p>
            <w:pPr>
              <w:pStyle w:val="Compact"/>
              <w:jc w:val="left"/>
            </w:pPr>
            <w:r>
              <w:t xml:space="preserve">$195.00</w:t>
            </w:r>
          </w:p>
        </w:tc>
        <w:tc>
          <w:tcPr/>
          <w:p>
            <w:pPr>
              <w:pStyle w:val="Compact"/>
              <w:jc w:val="left"/>
            </w:pPr>
            <w:r>
              <w:t xml:space="preserve">20</w:t>
            </w:r>
          </w:p>
        </w:tc>
        <w:tc>
          <w:tcPr/>
          <w:p>
            <w:pPr>
              <w:pStyle w:val="Compact"/>
              <w:jc w:val="left"/>
            </w:pPr>
            <w:r>
              <w:t xml:space="preserve">$3,900.00</w:t>
            </w:r>
          </w:p>
        </w:tc>
      </w:tr>
      <w:tr>
        <w:tc>
          <w:tcPr/>
          <w:p>
            <w:pPr>
              <w:pStyle w:val="Compact"/>
              <w:jc w:val="left"/>
            </w:pPr>
            <w:r>
              <w:t xml:space="preserve">05</w:t>
            </w:r>
          </w:p>
        </w:tc>
        <w:tc>
          <w:tcPr/>
          <w:p>
            <w:pPr>
              <w:pStyle w:val="Compact"/>
              <w:jc w:val="left"/>
            </w:pPr>
            <w:r>
              <w:t xml:space="preserve">Executive presentation and board-level financial briefing. The Financial Analyst prepared and delivered a strategic financial overview to the board of directors, including 12-month forward projections, capital allocation recommendations, and liquidity planning for the Venezuela Caracas headquarters.</w:t>
            </w:r>
          </w:p>
        </w:tc>
        <w:tc>
          <w:tcPr/>
          <w:p>
            <w:pPr>
              <w:pStyle w:val="Compact"/>
              <w:jc w:val="left"/>
            </w:pPr>
            <w:r>
              <w:t xml:space="preserve">Q1 2025</w:t>
            </w:r>
          </w:p>
        </w:tc>
        <w:tc>
          <w:tcPr/>
          <w:p>
            <w:pPr>
              <w:pStyle w:val="Compact"/>
              <w:jc w:val="left"/>
            </w:pPr>
            <w:r>
              <w:t xml:space="preserve">$250.00</w:t>
            </w:r>
          </w:p>
        </w:tc>
        <w:tc>
          <w:tcPr/>
          <w:p>
            <w:pPr>
              <w:pStyle w:val="Compact"/>
              <w:jc w:val="left"/>
            </w:pPr>
            <w:r>
              <w:t xml:space="preserve">8</w:t>
            </w:r>
          </w:p>
        </w:tc>
        <w:tc>
          <w:tcPr/>
          <w:p>
            <w:pPr>
              <w:pStyle w:val="Compact"/>
              <w:jc w:val="left"/>
            </w:pPr>
            <w:r>
              <w:t xml:space="preserve">$2,000.00</w:t>
            </w:r>
          </w:p>
        </w:tc>
      </w:tr>
      <w:tr>
        <w:tc>
          <w:tcPr/>
          <w:p>
            <w:pPr>
              <w:pStyle w:val="Compact"/>
              <w:jc w:val="left"/>
            </w:pPr>
            <w:r>
              <w:t xml:space="preserve">06</w:t>
            </w:r>
          </w:p>
        </w:tc>
        <w:tc>
          <w:tcPr/>
          <w:p>
            <w:pPr>
              <w:pStyle w:val="Compact"/>
              <w:jc w:val="left"/>
            </w:pPr>
            <w:r>
              <w:t xml:space="preserve">Ad-hoc financial modeling for potential acquisition of a midstream logistics asset. The Financial Analyst built a discounted cash flow model, sensitivity analysis, and synergy estimation for the proposed transaction in the Venezuela Caracas energy corridor.</w:t>
            </w:r>
          </w:p>
        </w:tc>
        <w:tc>
          <w:tcPr/>
          <w:p>
            <w:pPr>
              <w:pStyle w:val="Compact"/>
              <w:jc w:val="left"/>
            </w:pPr>
            <w:r>
              <w:t xml:space="preserve">Q1 2025</w:t>
            </w:r>
          </w:p>
        </w:tc>
        <w:tc>
          <w:tcPr/>
          <w:p>
            <w:pPr>
              <w:pStyle w:val="Compact"/>
              <w:jc w:val="left"/>
            </w:pPr>
            <w:r>
              <w:t xml:space="preserve">$210.00</w:t>
            </w:r>
          </w:p>
        </w:tc>
        <w:tc>
          <w:tcPr/>
          <w:p>
            <w:pPr>
              <w:pStyle w:val="Compact"/>
              <w:jc w:val="left"/>
            </w:pPr>
            <w:r>
              <w:t xml:space="preserve">16</w:t>
            </w:r>
          </w:p>
        </w:tc>
        <w:tc>
          <w:tcPr/>
          <w:p>
            <w:pPr>
              <w:pStyle w:val="Compact"/>
              <w:jc w:val="left"/>
            </w:pPr>
            <w:r>
              <w:t xml:space="preserve">$3,360.00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$27,620.00</w:t>
            </w:r>
          </w:p>
        </w:tc>
      </w:tr>
      <w:tr>
        <w:tc>
          <w:tcPr/>
          <w:p>
            <w:pPr>
              <w:pStyle w:val="Compact"/>
              <w:jc w:val="left"/>
            </w:pPr>
            <w:r>
              <w:t xml:space="preserve">Applicable Discount (5% early payment)</w:t>
            </w:r>
          </w:p>
        </w:tc>
        <w:tc>
          <w:tcPr/>
          <w:p>
            <w:pPr>
              <w:pStyle w:val="Compact"/>
              <w:jc w:val="left"/>
            </w:pPr>
            <w:r>
              <w:t xml:space="preserve">-$1,381.00</w:t>
            </w:r>
          </w:p>
        </w:tc>
      </w:tr>
      <w:tr>
        <w:tc>
          <w:tcPr/>
          <w:p>
            <w:pPr>
              <w:pStyle w:val="Compact"/>
              <w:jc w:val="left"/>
            </w:pPr>
            <w:r>
              <w:t xml:space="preserve">IVA (16% - Venezuelan Value Added Tax)</w:t>
            </w:r>
          </w:p>
        </w:tc>
        <w:tc>
          <w:tcPr/>
          <w:p>
            <w:pPr>
              <w:pStyle w:val="Compact"/>
              <w:jc w:val="left"/>
            </w:pPr>
            <w:r>
              <w:t xml:space="preserve">$4,142.64</w:t>
            </w:r>
          </w:p>
        </w:tc>
      </w:tr>
      <w:tr>
        <w:tc>
          <w:tcPr/>
          <w:p>
            <w:pPr>
              <w:pStyle w:val="Compact"/>
              <w:jc w:val="left"/>
            </w:pPr>
            <w:r>
              <w:t xml:space="preserve">Withholding Tax (3% - IRPF)</w:t>
            </w:r>
          </w:p>
        </w:tc>
        <w:tc>
          <w:tcPr/>
          <w:p>
            <w:pPr>
              <w:pStyle w:val="Compact"/>
              <w:jc w:val="left"/>
            </w:pPr>
            <w:r>
              <w:t xml:space="preserve">$798.65</w:t>
            </w:r>
          </w:p>
        </w:tc>
      </w:tr>
      <w:tr>
        <w:tc>
          <w:tcPr/>
          <w:p>
            <w:pPr>
              <w:pStyle w:val="Compact"/>
              <w:jc w:val="left"/>
            </w:pPr>
            <w:r>
              <w:t xml:space="preserve">Grand Total Due</w:t>
            </w:r>
          </w:p>
        </w:tc>
        <w:tc>
          <w:tcPr/>
          <w:p>
            <w:pPr>
              <w:pStyle w:val="Compact"/>
              <w:jc w:val="left"/>
            </w:pPr>
            <w:r>
              <w:t xml:space="preserve">$30,283.99</w:t>
            </w:r>
          </w:p>
        </w:tc>
      </w:tr>
    </w:tbl>
    <w:bookmarkStart w:id="24" w:name="invoice-notes-and-payment-instructions"/>
    <w:p>
      <w:pPr>
        <w:pStyle w:val="Heading3"/>
      </w:pPr>
      <w:r>
        <w:t xml:space="preserve">Invoice Notes and Payment Instructions</w:t>
      </w:r>
    </w:p>
    <w:p>
      <w:pPr>
        <w:pStyle w:val="FirstParagraph"/>
      </w:pPr>
      <w:r>
        <w:t xml:space="preserve">This Invoice has been prepared in accordance with the professional services agreement (Contract No. OEH-CFA-2025-003) executed between Caracas Financial Advisory Group, C.A. and Orinoco Energy Holdings, C.A. The Financial Analyst services rendered during the first quarter of 2025 have been documented and validated by both parties.</w:t>
      </w:r>
    </w:p>
    <w:p>
      <w:pPr>
        <w:pStyle w:val="BodyText"/>
      </w:pPr>
      <w:r>
        <w:t xml:space="preserve">Payment for this Invoice shall be made within thirty (30) calendar days from the date of issuance. Wire transfers should be directed to: Banco Mercantil, C.A., Branch: Venezuela Caracas, Chacao. Account Name: Caracas Financial Advisory Group, C.A. IBAN: VE33010200001234567890. SWIFT: BCMCVAVC.</w:t>
      </w:r>
    </w:p>
    <w:p>
      <w:pPr>
        <w:pStyle w:val="BodyText"/>
      </w:pPr>
      <w:r>
        <w:t xml:space="preserve">All amounts are denominated in United States Dollars (USD) as stipulated in the service contract. The Financial Analyst fees are subject to the applicable Venezuelan tax regulations, including IVA at 16% and IRPF withholding at 3%, as reflected in this Invoice.</w:t>
      </w:r>
    </w:p>
    <w:p>
      <w:pPr>
        <w:pStyle w:val="BodyText"/>
      </w:pPr>
      <w:r>
        <w:t xml:space="preserve">Please reference Invoice Number CFA-2025-00487 on all correspondence and payment remittances. For questions regarding this Invoice or the Financial Analyst services provided, please contact our billing department at billing@caracasfinancial.com.ve or call +58 (212) 555-0147, extension 204.</w:t>
      </w:r>
    </w:p>
    <w:bookmarkEnd w:id="24"/>
    <w:bookmarkStart w:id="25" w:name="terms-and-conditions"/>
    <w:p>
      <w:pPr>
        <w:pStyle w:val="Heading3"/>
      </w:pPr>
      <w:r>
        <w:t xml:space="preserve">Terms and Conditions</w:t>
      </w:r>
    </w:p>
    <w:p>
      <w:pPr>
        <w:numPr>
          <w:ilvl w:val="0"/>
          <w:numId w:val="1001"/>
        </w:numPr>
        <w:pStyle w:val="Compact"/>
      </w:pPr>
      <w:r>
        <w:t xml:space="preserve">This Invoice is valid for a period of ninety (90) days from the date of issuance. After this period, a late payment penalty of 1.5% per month will be applied to the outstanding balance.</w:t>
      </w:r>
    </w:p>
    <w:p>
      <w:pPr>
        <w:numPr>
          <w:ilvl w:val="0"/>
          <w:numId w:val="1001"/>
        </w:numPr>
        <w:pStyle w:val="Compact"/>
      </w:pPr>
      <w:r>
        <w:t xml:space="preserve">The Financial Analyst services described in this Invoice are considered fully rendered and accepted upon delivery of the final reports and presentations to the client's designated representative in Venezuela Caracas.</w:t>
      </w:r>
    </w:p>
    <w:p>
      <w:pPr>
        <w:numPr>
          <w:ilvl w:val="0"/>
          <w:numId w:val="1001"/>
        </w:numPr>
        <w:pStyle w:val="Compact"/>
      </w:pPr>
      <w:r>
        <w:t xml:space="preserve">All intellectual property, models, analyses, and documentation produced by the Financial Analyst remain the property of Caracas Financial Advisory Group, C.A., unless otherwise stated in the master service agreement.</w:t>
      </w:r>
    </w:p>
    <w:p>
      <w:pPr>
        <w:numPr>
          <w:ilvl w:val="0"/>
          <w:numId w:val="1001"/>
        </w:numPr>
        <w:pStyle w:val="Compact"/>
      </w:pPr>
      <w:r>
        <w:t xml:space="preserve">Disputes arising from this Invoice or the associated Financial Analyst engagement shall be resolved through arbitration in Venezuela Caracas, in accordance with the Venezuelan Commercial Arbitration Law.</w:t>
      </w:r>
    </w:p>
    <w:p>
      <w:pPr>
        <w:numPr>
          <w:ilvl w:val="0"/>
          <w:numId w:val="1001"/>
        </w:numPr>
        <w:pStyle w:val="Compact"/>
      </w:pPr>
      <w:r>
        <w:t xml:space="preserve">Caracas Financial Advisory Group, C.A. reserves the right to suspend ongoing Financial Analyst services if payment for this Invoice is not received by the due date of July 15, 2025.</w:t>
      </w:r>
    </w:p>
    <w:p>
      <w:pPr>
        <w:numPr>
          <w:ilvl w:val="0"/>
          <w:numId w:val="1001"/>
        </w:numPr>
        <w:pStyle w:val="Compact"/>
      </w:pPr>
      <w:r>
        <w:t xml:space="preserve">This Invoice constitutes a legally binding document under the laws of the Bolivarian Republic of Venezuela and the applicable commercial regulations of Venezuela Caracas.</w:t>
      </w:r>
    </w:p>
    <w:bookmarkEnd w:id="25"/>
    <w:p>
      <w:pPr>
        <w:pStyle w:val="FirstParagraph"/>
      </w:pPr>
      <w:r>
        <w:rPr>
          <w:bCs/>
          <w:b/>
        </w:rPr>
        <w:t xml:space="preserve">Caracas Financial Advisory Group, C.A.</w:t>
      </w:r>
      <w:r>
        <w:t xml:space="preserve"> </w:t>
      </w:r>
      <w:r>
        <w:t xml:space="preserve">| RIF: J-40125876-3 | Av. Francisco de Miranda, Torre Empresarial, Piso 14, Chacao, Venezuela Caracas, 1060</w:t>
      </w:r>
    </w:p>
    <w:p>
      <w:pPr>
        <w:pStyle w:val="BodyText"/>
      </w:pPr>
      <w:r>
        <w:t xml:space="preserve">This Invoice was generated electronically and is valid without a physical signature. Document ID: CFA-2025-00487 | Generated: June 15, 2025, 10:32 AM VET</w:t>
      </w:r>
    </w:p>
    <w:p>
      <w:pPr>
        <w:pStyle w:val="BodyText"/>
      </w:pPr>
      <w:r>
        <w:t xml:space="preserve">Thank you for your business. We value our partnership and look forward to continuing to provide exceptional Financial Analyst services in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Venezuela Caracas</dc:title>
  <dc:creator/>
  <dc:language>en</dc:language>
  <cp:keywords/>
  <dcterms:created xsi:type="dcterms:W3CDTF">2026-10-10T08:46:53Z</dcterms:created>
  <dcterms:modified xsi:type="dcterms:W3CDTF">2026-10-10T08:46:53Z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