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frankfurt-firefighter-services-gmbh"/>
    <w:p>
      <w:pPr>
        <w:pStyle w:val="Heading1"/>
      </w:pPr>
      <w:r>
        <w:t xml:space="preserve">Frankfurt Firefighter Services GmbH</w:t>
      </w:r>
    </w:p>
    <w:p>
      <w:pPr>
        <w:pStyle w:val="FirstParagraph"/>
      </w:pPr>
      <w:r>
        <w:t xml:space="preserve">Mainzer Landstraße 142, 60329 Frankfurt am Main, Germany</w:t>
      </w:r>
    </w:p>
    <w:p>
      <w:pPr>
        <w:pStyle w:val="BodyText"/>
      </w:pPr>
      <w:r>
        <w:t xml:space="preserve">Phone: +49 69 4455 7820 | Email: billing@ffs-frankfurt.de</w:t>
      </w:r>
    </w:p>
    <w:p>
      <w:pPr>
        <w:pStyle w:val="BodyText"/>
      </w:pPr>
      <w:r>
        <w:t xml:space="preserve">USt-IdNr.: DE 318 456 721 | HRB 88421, Amtsgericht Frankfurt am Main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FFS-2025-00487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t xml:space="preserve">Germany Frankfurt</w:t>
      </w:r>
    </w:p>
    <w:bookmarkEnd w:id="21"/>
    <w:bookmarkStart w:id="22" w:name="billed-to"/>
    <w:p>
      <w:pPr>
        <w:pStyle w:val="Heading3"/>
      </w:pPr>
      <w:r>
        <w:t xml:space="preserve">Billed To</w:t>
      </w:r>
    </w:p>
    <w:p>
      <w:pPr>
        <w:pStyle w:val="FirstParagraph"/>
      </w:pPr>
      <w:r>
        <w:rPr>
          <w:bCs/>
          <w:b/>
        </w:rPr>
        <w:t xml:space="preserve">Frankfurt Metropolitan Fire Department</w:t>
      </w:r>
    </w:p>
    <w:p>
      <w:pPr>
        <w:pStyle w:val="BodyText"/>
      </w:pPr>
      <w:r>
        <w:t xml:space="preserve">Feuerwehr Frankfurt am Main</w:t>
      </w:r>
    </w:p>
    <w:p>
      <w:pPr>
        <w:pStyle w:val="BodyText"/>
      </w:pPr>
      <w:r>
        <w:t xml:space="preserve">Willy-Brandt-Platz 1</w:t>
      </w:r>
    </w:p>
    <w:p>
      <w:pPr>
        <w:pStyle w:val="BodyText"/>
      </w:pPr>
      <w:r>
        <w:t xml:space="preserve">60311 Frankfurt am Main, Germany</w:t>
      </w:r>
    </w:p>
    <w:p>
      <w:pPr>
        <w:pStyle w:val="BodyText"/>
      </w:pPr>
      <w:r>
        <w:t xml:space="preserve">Contact: Chief Inspector Markus Weber</w:t>
      </w:r>
    </w:p>
    <w:p>
      <w:pPr>
        <w:pStyle w:val="BodyText"/>
      </w:pPr>
      <w:r>
        <w:t xml:space="preserve">Procurement Ref: FFM-FD-2025-112</w:t>
      </w:r>
    </w:p>
    <w:bookmarkEnd w:id="22"/>
    <w:bookmarkStart w:id="23" w:name="billed-by"/>
    <w:p>
      <w:pPr>
        <w:pStyle w:val="Heading3"/>
      </w:pPr>
      <w:r>
        <w:t xml:space="preserve">Billed By</w:t>
      </w:r>
    </w:p>
    <w:p>
      <w:pPr>
        <w:pStyle w:val="FirstParagraph"/>
      </w:pPr>
      <w:r>
        <w:rPr>
          <w:bCs/>
          <w:b/>
        </w:rPr>
        <w:t xml:space="preserve">Frankfurt Firefighter Services GmbH</w:t>
      </w:r>
    </w:p>
    <w:p>
      <w:pPr>
        <w:pStyle w:val="BodyText"/>
      </w:pPr>
      <w:r>
        <w:t xml:space="preserve">Mainzer Landstraße 142</w:t>
      </w:r>
    </w:p>
    <w:p>
      <w:pPr>
        <w:pStyle w:val="BodyText"/>
      </w:pPr>
      <w:r>
        <w:t xml:space="preserve">60329 Frankfurt am Main, Germany</w:t>
      </w:r>
    </w:p>
    <w:p>
      <w:pPr>
        <w:pStyle w:val="BodyText"/>
      </w:pPr>
      <w:r>
        <w:t xml:space="preserve">Contact: Financial Department</w:t>
      </w:r>
    </w:p>
    <w:p>
      <w:pPr>
        <w:pStyle w:val="BodyText"/>
      </w:pPr>
      <w:r>
        <w:t xml:space="preserve">Bank: Commerzbank Frankfurt</w:t>
      </w:r>
    </w:p>
    <w:p>
      <w:pPr>
        <w:pStyle w:val="BodyText"/>
      </w:pPr>
      <w:r>
        <w:t xml:space="preserve">IBAN: DE89 3704 0044 0532 0130 00</w:t>
      </w:r>
    </w:p>
    <w:p>
      <w:pPr>
        <w:pStyle w:val="BodyText"/>
      </w:pPr>
      <w:r>
        <w:t xml:space="preserve">BIC: COBADEFFXXX</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Firefighter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Professional Firefighter Training Programme – Advanced Structural Firefighting Certification for 24 active-duty personnel at the Frankfurt Firefighter Academy, including hands-on combustion chamber exercises, high-rise rescue simulations, and hazardous materials handling protocols specific to the Germany Frankfurt industrial corridor.</w:t>
            </w:r>
          </w:p>
        </w:tc>
        <w:tc>
          <w:tcPr/>
          <w:p>
            <w:pPr>
              <w:pStyle w:val="Compact"/>
              <w:jc w:val="left"/>
            </w:pPr>
            <w:r>
              <w:t xml:space="preserve">24 sessions</w:t>
            </w:r>
          </w:p>
        </w:tc>
        <w:tc>
          <w:tcPr/>
          <w:p>
            <w:pPr>
              <w:pStyle w:val="Compact"/>
              <w:jc w:val="left"/>
            </w:pPr>
            <w:r>
              <w:t xml:space="preserve">1,250.00</w:t>
            </w:r>
          </w:p>
        </w:tc>
        <w:tc>
          <w:tcPr/>
          <w:p>
            <w:pPr>
              <w:pStyle w:val="Compact"/>
              <w:jc w:val="left"/>
            </w:pPr>
            <w:r>
              <w:t xml:space="preserve">30,000.00</w:t>
            </w:r>
          </w:p>
        </w:tc>
      </w:tr>
      <w:tr>
        <w:tc>
          <w:tcPr/>
          <w:p>
            <w:pPr>
              <w:pStyle w:val="Compact"/>
              <w:jc w:val="left"/>
            </w:pPr>
            <w:r>
              <w:t xml:space="preserve">02</w:t>
            </w:r>
          </w:p>
        </w:tc>
        <w:tc>
          <w:tcPr/>
          <w:p>
            <w:pPr>
              <w:pStyle w:val="Compact"/>
              <w:jc w:val="left"/>
            </w:pPr>
            <w:r>
              <w:t xml:space="preserve">Supply and installation of next-generation Firefighter Personal Protective Equipment (PPE) – EN 469:2020 compliant turnout gear, including thermal-resistant outer shells, moisture barrier layers, and integrated thermal imaging headsets for all frontline Firefighter units stationed in the Frankfurt am Main district.</w:t>
            </w:r>
          </w:p>
        </w:tc>
        <w:tc>
          <w:tcPr/>
          <w:p>
            <w:pPr>
              <w:pStyle w:val="Compact"/>
              <w:jc w:val="left"/>
            </w:pPr>
            <w:r>
              <w:t xml:space="preserve">48 sets</w:t>
            </w:r>
          </w:p>
        </w:tc>
        <w:tc>
          <w:tcPr/>
          <w:p>
            <w:pPr>
              <w:pStyle w:val="Compact"/>
              <w:jc w:val="left"/>
            </w:pPr>
            <w:r>
              <w:t xml:space="preserve">2,850.00</w:t>
            </w:r>
          </w:p>
        </w:tc>
        <w:tc>
          <w:tcPr/>
          <w:p>
            <w:pPr>
              <w:pStyle w:val="Compact"/>
              <w:jc w:val="left"/>
            </w:pPr>
            <w:r>
              <w:t xml:space="preserve">136,800.00</w:t>
            </w:r>
          </w:p>
        </w:tc>
      </w:tr>
      <w:tr>
        <w:tc>
          <w:tcPr/>
          <w:p>
            <w:pPr>
              <w:pStyle w:val="Compact"/>
              <w:jc w:val="left"/>
            </w:pPr>
            <w:r>
              <w:t xml:space="preserve">03</w:t>
            </w:r>
          </w:p>
        </w:tc>
        <w:tc>
          <w:tcPr/>
          <w:p>
            <w:pPr>
              <w:pStyle w:val="Compact"/>
              <w:jc w:val="left"/>
            </w:pPr>
            <w:r>
              <w:t xml:space="preserve">Annual calibration, inspection, and certification of 12 Firefighter aerial ladder platforms and 8 heavy-duty Firefighter pumpers operated by the Germany Frankfurt municipal fire brigade, in compliance with DIN EN 1493 standards and local Hesse state safety regulations.</w:t>
            </w:r>
          </w:p>
        </w:tc>
        <w:tc>
          <w:tcPr/>
          <w:p>
            <w:pPr>
              <w:pStyle w:val="Compact"/>
              <w:jc w:val="left"/>
            </w:pPr>
            <w:r>
              <w:t xml:space="preserve">20 units</w:t>
            </w:r>
          </w:p>
        </w:tc>
        <w:tc>
          <w:tcPr/>
          <w:p>
            <w:pPr>
              <w:pStyle w:val="Compact"/>
              <w:jc w:val="left"/>
            </w:pPr>
            <w:r>
              <w:t xml:space="preserve">3,400.00</w:t>
            </w:r>
          </w:p>
        </w:tc>
        <w:tc>
          <w:tcPr/>
          <w:p>
            <w:pPr>
              <w:pStyle w:val="Compact"/>
              <w:jc w:val="left"/>
            </w:pPr>
            <w:r>
              <w:t xml:space="preserve">68,000.00</w:t>
            </w:r>
          </w:p>
        </w:tc>
      </w:tr>
      <w:tr>
        <w:tc>
          <w:tcPr/>
          <w:p>
            <w:pPr>
              <w:pStyle w:val="Compact"/>
              <w:jc w:val="left"/>
            </w:pPr>
            <w:r>
              <w:t xml:space="preserve">04</w:t>
            </w:r>
          </w:p>
        </w:tc>
        <w:tc>
          <w:tcPr/>
          <w:p>
            <w:pPr>
              <w:pStyle w:val="Compact"/>
              <w:jc w:val="left"/>
            </w:pPr>
            <w:r>
              <w:t xml:space="preserve">Firefighter Emergency Response Software License – Annual subscription for the integrated dispatch and incident management platform deployed across all 14 Firefighter stations in Germany Frankfurt, including real-time GPS tracking, resource allocation algorithms, and inter-agency communication modules.</w:t>
            </w:r>
          </w:p>
        </w:tc>
        <w:tc>
          <w:tcPr/>
          <w:p>
            <w:pPr>
              <w:pStyle w:val="Compact"/>
              <w:jc w:val="left"/>
            </w:pPr>
            <w:r>
              <w:t xml:space="preserve">14 licenses</w:t>
            </w:r>
          </w:p>
        </w:tc>
        <w:tc>
          <w:tcPr/>
          <w:p>
            <w:pPr>
              <w:pStyle w:val="Compact"/>
              <w:jc w:val="left"/>
            </w:pPr>
            <w:r>
              <w:t xml:space="preserve">4,200.00</w:t>
            </w:r>
          </w:p>
        </w:tc>
        <w:tc>
          <w:tcPr/>
          <w:p>
            <w:pPr>
              <w:pStyle w:val="Compact"/>
              <w:jc w:val="left"/>
            </w:pPr>
            <w:r>
              <w:t xml:space="preserve">58,800.00</w:t>
            </w:r>
          </w:p>
        </w:tc>
      </w:tr>
      <w:tr>
        <w:tc>
          <w:tcPr/>
          <w:p>
            <w:pPr>
              <w:pStyle w:val="Compact"/>
              <w:jc w:val="left"/>
            </w:pPr>
            <w:r>
              <w:t xml:space="preserve">05</w:t>
            </w:r>
          </w:p>
        </w:tc>
        <w:tc>
          <w:tcPr/>
          <w:p>
            <w:pPr>
              <w:pStyle w:val="Compact"/>
              <w:jc w:val="left"/>
            </w:pPr>
            <w:r>
              <w:t xml:space="preserve">Firefighter Psychological Resilience and Post-Incident Stress Management Workshop – A two-day intensive programme designed for Firefighter personnel in Germany Frankfurt who have responded to major structural fires, traffic accidents, and chemical spill incidents during the reporting period.</w:t>
            </w:r>
          </w:p>
        </w:tc>
        <w:tc>
          <w:tcPr/>
          <w:p>
            <w:pPr>
              <w:pStyle w:val="Compact"/>
              <w:jc w:val="left"/>
            </w:pPr>
            <w:r>
              <w:t xml:space="preserve">2 days</w:t>
            </w:r>
          </w:p>
        </w:tc>
        <w:tc>
          <w:tcPr/>
          <w:p>
            <w:pPr>
              <w:pStyle w:val="Compact"/>
              <w:jc w:val="left"/>
            </w:pPr>
            <w:r>
              <w:t xml:space="preserve">8,500.00</w:t>
            </w:r>
          </w:p>
        </w:tc>
        <w:tc>
          <w:tcPr/>
          <w:p>
            <w:pPr>
              <w:pStyle w:val="Compact"/>
              <w:jc w:val="left"/>
            </w:pPr>
            <w:r>
              <w:t xml:space="preserve">17,000.00</w:t>
            </w:r>
          </w:p>
        </w:tc>
      </w:tr>
      <w:tr>
        <w:tc>
          <w:tcPr/>
          <w:p>
            <w:pPr>
              <w:pStyle w:val="Compact"/>
              <w:jc w:val="left"/>
            </w:pPr>
            <w:r>
              <w:t xml:space="preserve">06</w:t>
            </w:r>
          </w:p>
        </w:tc>
        <w:tc>
          <w:tcPr/>
          <w:p>
            <w:pPr>
              <w:pStyle w:val="Compact"/>
              <w:jc w:val="left"/>
            </w:pPr>
            <w:r>
              <w:t xml:space="preserve">Firefighter Training Facility Maintenance – Comprehensive servicing of the combustion training hall, water tower, and smoke-filled corridor at the Frankfurt Firefighter Training Centre, including replacement of ventilation systems, fire suppression testing, and structural integrity assessment.</w:t>
            </w:r>
          </w:p>
        </w:tc>
        <w:tc>
          <w:tcPr/>
          <w:p>
            <w:pPr>
              <w:pStyle w:val="Compact"/>
              <w:jc w:val="left"/>
            </w:pPr>
            <w:r>
              <w:t xml:space="preserve">1 service</w:t>
            </w:r>
          </w:p>
        </w:tc>
        <w:tc>
          <w:tcPr/>
          <w:p>
            <w:pPr>
              <w:pStyle w:val="Compact"/>
              <w:jc w:val="left"/>
            </w:pPr>
            <w:r>
              <w:t xml:space="preserve">22,500.00</w:t>
            </w:r>
          </w:p>
        </w:tc>
        <w:tc>
          <w:tcPr/>
          <w:p>
            <w:pPr>
              <w:pStyle w:val="Compact"/>
              <w:jc w:val="left"/>
            </w:pPr>
            <w:r>
              <w:t xml:space="preserve">22,500.00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333,100.00 EUR</w:t>
            </w:r>
          </w:p>
        </w:tc>
      </w:tr>
      <w:tr>
        <w:tc>
          <w:tcPr/>
          <w:p>
            <w:pPr>
              <w:pStyle w:val="Compact"/>
              <w:jc w:val="left"/>
            </w:pPr>
            <w:r>
              <w:t xml:space="preserve">VAT (19% – German Standard Rate)</w:t>
            </w:r>
          </w:p>
        </w:tc>
        <w:tc>
          <w:tcPr/>
          <w:p>
            <w:pPr>
              <w:pStyle w:val="Compact"/>
              <w:jc w:val="left"/>
            </w:pPr>
            <w:r>
              <w:t xml:space="preserve">63,289.00 EUR</w:t>
            </w:r>
          </w:p>
        </w:tc>
      </w:tr>
      <w:tr>
        <w:tc>
          <w:tcPr/>
          <w:p>
            <w:pPr>
              <w:pStyle w:val="Compact"/>
              <w:jc w:val="left"/>
            </w:pPr>
            <w:r>
              <w:t xml:space="preserve">Discount – Municipal Partnership Agreement</w:t>
            </w:r>
          </w:p>
        </w:tc>
        <w:tc>
          <w:tcPr/>
          <w:p>
            <w:pPr>
              <w:pStyle w:val="Compact"/>
              <w:jc w:val="left"/>
            </w:pPr>
            <w:r>
              <w:t xml:space="preserve">-5,000.00 EUR</w:t>
            </w:r>
          </w:p>
        </w:tc>
      </w:tr>
      <w:tr>
        <w:tc>
          <w:tcPr/>
          <w:p>
            <w:pPr>
              <w:pStyle w:val="Compact"/>
              <w:jc w:val="left"/>
            </w:pPr>
            <w:r>
              <w:t xml:space="preserve">Grand Total Due</w:t>
            </w:r>
          </w:p>
        </w:tc>
        <w:tc>
          <w:tcPr/>
          <w:p>
            <w:pPr>
              <w:pStyle w:val="Compact"/>
              <w:jc w:val="left"/>
            </w:pPr>
            <w:r>
              <w:t xml:space="preserve">391,389.00 EUR</w:t>
            </w:r>
          </w:p>
        </w:tc>
      </w:tr>
    </w:tbl>
    <w:bookmarkStart w:id="24" w:name="payment-terms-invoice-notes"/>
    <w:p>
      <w:pPr>
        <w:pStyle w:val="Heading3"/>
      </w:pPr>
      <w:r>
        <w:t xml:space="preserve">Payment Terms &amp; Invoice Notes</w:t>
      </w:r>
    </w:p>
    <w:p>
      <w:pPr>
        <w:pStyle w:val="FirstParagraph"/>
      </w:pPr>
      <w:r>
        <w:t xml:space="preserve">This Invoice is issued in accordance with the German Commercial Code (HGB) and applicable tax regulations of the Federal Republic of Germany. Payment of the full Invoice amount of 391,389.00 EUR is due within 14 calendar days of the Invoice date via bank transfer to the IBAN specified above. Please reference Invoice number FFS-2025-00487 in your payment remittance.</w:t>
      </w:r>
    </w:p>
    <w:p>
      <w:pPr>
        <w:pStyle w:val="BodyText"/>
      </w:pPr>
      <w:r>
        <w:t xml:space="preserve">All Firefighter services rendered under this Invoice were performed in full compliance with the German Occupational Safety and Health Act (Arbeitsschutzgesetz), the Hesse State Fire Protection Act (Hessisches Brandschutzgesetz), and the relevant DIN/EN standards governing Firefighter equipment and training in Germany Frankfurt. The Firefighter personnel involved in the delivery of these services hold valid certifications issued by the German Fire Protection Association (Deutscher Feuerwehrverband).</w:t>
      </w:r>
    </w:p>
    <w:p>
      <w:pPr>
        <w:pStyle w:val="BodyText"/>
      </w:pPr>
      <w:r>
        <w:t xml:space="preserve">In the event of any dispute regarding the scope, quality, or billing of the Firefighter services described in this Invoice, the parties agree to first attempt resolution through good-faith negotiation. Should resolution not be achievable within 30 days, the matter shall be submitted to the competent court in Frankfurt am Main, Germany. This Invoice constitutes the final and complete statement of charges for the service period indicated and supersedes all prior quotations or estimates.</w:t>
      </w:r>
    </w:p>
    <w:p>
      <w:pPr>
        <w:pStyle w:val="BodyText"/>
      </w:pPr>
      <w:r>
        <w:t xml:space="preserve">Frankfurt Firefighter Services GmbH is a registered entity in Germany Frankfurt and operates under the supervision of the Hesse State Fire Authority. All Firefighter training programmes and equipment supplied under this Invoice carry a minimum 24-month warranty unless otherwise stated in the individual service agreements. The Firefighter PPE items listed in Reference 02 are subject to mandatory annual re-inspection as per German regulatory requirements.</w:t>
      </w:r>
    </w:p>
    <w:bookmarkEnd w:id="24"/>
    <w:p>
      <w:pPr>
        <w:pStyle w:val="BodyText"/>
      </w:pPr>
      <w:r>
        <w:rPr>
          <w:bCs/>
          <w:b/>
        </w:rPr>
        <w:t xml:space="preserve">Frankfurt Firefighter Services GmbH</w:t>
      </w:r>
      <w:r>
        <w:t xml:space="preserve"> </w:t>
      </w:r>
      <w:r>
        <w:t xml:space="preserve">– Mainzer Landstraße 142, 60329 Frankfurt am Main, Germany</w:t>
      </w:r>
    </w:p>
    <w:p>
      <w:pPr>
        <w:pStyle w:val="BodyText"/>
      </w:pPr>
      <w:r>
        <w:t xml:space="preserve">Managing Director: Dr. Heinrich Stahl | Commercial Register: HRB 88421, Amtsgericht Frankfurt am Main | USt-IdNr.: DE 318 456 721</w:t>
      </w:r>
    </w:p>
    <w:p>
      <w:pPr>
        <w:pStyle w:val="BodyText"/>
      </w:pPr>
      <w:r>
        <w:t xml:space="preserve">This Invoice was generated electronically and is valid without a physical signature pursuant to § 14a UStG (German VAT Act). For queries regarding this Invoice, please contact our billing department at billing@ffs-frankfurt.de or +49 69 4455 7820.</w:t>
      </w:r>
    </w:p>
    <w:p>
      <w:pPr>
        <w:pStyle w:val="BodyText"/>
      </w:pPr>
      <w:r>
        <w:t xml:space="preserve">© 2025 Frankfurt Firefighter Services GmbH. All rights reserved. Document ID: FFS-INV-2025-00487-DE-FRANKFURT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Germany Frankfurt</dc:title>
  <dc:creator/>
  <dc:language>en</dc:language>
  <cp:keywords/>
  <dcterms:created xsi:type="dcterms:W3CDTF">2026-10-10T03:38:18Z</dcterms:created>
  <dcterms:modified xsi:type="dcterms:W3CDTF">2026-10-10T03:38:18Z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