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jakarta-firefighter-services"/>
    <w:p>
      <w:pPr>
        <w:pStyle w:val="Heading1"/>
      </w:pPr>
      <w:r>
        <w:t xml:space="preserve">PT Jakarta Firefighter Services</w:t>
      </w:r>
    </w:p>
    <w:p>
      <w:pPr>
        <w:pStyle w:val="FirstParagraph"/>
      </w:pPr>
      <w:r>
        <w:t xml:space="preserve">Jl. Jend. Sudirman Kav. 52-53, SCBD</w:t>
      </w:r>
    </w:p>
    <w:p>
      <w:pPr>
        <w:pStyle w:val="BodyText"/>
      </w:pPr>
      <w:r>
        <w:t xml:space="preserve">Jakarta Selatan 12190, Indonesia Jakarta</w:t>
      </w:r>
    </w:p>
    <w:p>
      <w:pPr>
        <w:pStyle w:val="BodyText"/>
      </w:pPr>
      <w:r>
        <w:t xml:space="preserve">Tel: +62-21-5790-1234 | Email: billing@jakartafirefighter.co.id</w:t>
      </w:r>
    </w:p>
    <w:p>
      <w:pPr>
        <w:pStyle w:val="BodyText"/>
      </w:pPr>
      <w:r>
        <w:t xml:space="preserve">NPWP: 01.234.567.8-051.000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INV-JFK-2025-00487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bookmarkEnd w:id="21"/>
    <w:bookmarkStart w:id="22" w:name="bill-to"/>
    <w:p>
      <w:pPr>
        <w:pStyle w:val="Heading3"/>
      </w:pPr>
      <w:r>
        <w:t xml:space="preserve">Bill To</w:t>
      </w:r>
    </w:p>
    <w:p>
      <w:pPr>
        <w:pStyle w:val="FirstParagraph"/>
      </w:pPr>
      <w:r>
        <w:rPr>
          <w:bCs/>
          <w:b/>
        </w:rPr>
        <w:t xml:space="preserve">PT Nusantara Tower Management</w:t>
      </w:r>
    </w:p>
    <w:p>
      <w:pPr>
        <w:pStyle w:val="BodyText"/>
      </w:pPr>
      <w:r>
        <w:t xml:space="preserve">Jl. Gatot Subroto Kav. 28</w:t>
      </w:r>
    </w:p>
    <w:p>
      <w:pPr>
        <w:pStyle w:val="BodyText"/>
      </w:pPr>
      <w:r>
        <w:t xml:space="preserve">Jakarta Pusat 10270, Indonesia Jakarta</w:t>
      </w:r>
    </w:p>
    <w:p>
      <w:pPr>
        <w:pStyle w:val="BodyText"/>
      </w:pPr>
      <w:r>
        <w:t xml:space="preserve">Attn: Mr. Budi Santoso, Facilities Director</w:t>
      </w:r>
    </w:p>
    <w:p>
      <w:pPr>
        <w:pStyle w:val="BodyText"/>
      </w:pPr>
      <w:r>
        <w:t xml:space="preserve">NPWP: 09.876.543.2-011.000</w:t>
      </w:r>
    </w:p>
    <w:bookmarkEnd w:id="22"/>
    <w:bookmarkStart w:id="23" w:name="service-provider"/>
    <w:p>
      <w:pPr>
        <w:pStyle w:val="Heading3"/>
      </w:pPr>
      <w:r>
        <w:t xml:space="preserve">Service Provider</w:t>
      </w:r>
    </w:p>
    <w:p>
      <w:pPr>
        <w:pStyle w:val="FirstParagraph"/>
      </w:pPr>
      <w:r>
        <w:rPr>
          <w:bCs/>
          <w:b/>
        </w:rPr>
        <w:t xml:space="preserve">PT Jakarta Firefighter Services</w:t>
      </w:r>
    </w:p>
    <w:p>
      <w:pPr>
        <w:pStyle w:val="BodyText"/>
      </w:pPr>
      <w:r>
        <w:t xml:space="preserve">Licensed Firefighter Contractor</w:t>
      </w:r>
    </w:p>
    <w:p>
      <w:pPr>
        <w:pStyle w:val="BodyText"/>
      </w:pPr>
      <w:r>
        <w:t xml:space="preserve">Permit No: DKI-JKT-FF-2024-0091</w:t>
      </w:r>
    </w:p>
    <w:p>
      <w:pPr>
        <w:pStyle w:val="BodyText"/>
      </w:pPr>
      <w:r>
        <w:t xml:space="preserve">Indonesia Jakarta Fire Safety Authority</w:t>
      </w:r>
    </w:p>
    <w:p>
      <w:pPr>
        <w:pStyle w:val="BodyText"/>
      </w:pPr>
      <w:r>
        <w:t xml:space="preserve">Contract Ref: CTR-FF-2025-0312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Firefighter Services</w:t>
            </w:r>
          </w:p>
        </w:tc>
        <w:tc>
          <w:tcPr/>
          <w:p>
            <w:pPr>
              <w:pStyle w:val="Compact"/>
              <w:jc w:val="left"/>
            </w:pPr>
            <w:r>
              <w:t xml:space="preserve">Qty</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Monthly Firefighter On-Site Duty – 24/7 Firefighter Stationing at Ground Floor Command Center, Indonesia Jakarta Tower Complex</w:t>
            </w:r>
          </w:p>
        </w:tc>
        <w:tc>
          <w:tcPr/>
          <w:p>
            <w:pPr>
              <w:pStyle w:val="Compact"/>
              <w:jc w:val="left"/>
            </w:pPr>
            <w:r>
              <w:t xml:space="preserve">30 days</w:t>
            </w:r>
          </w:p>
        </w:tc>
        <w:tc>
          <w:tcPr/>
          <w:p>
            <w:pPr>
              <w:pStyle w:val="Compact"/>
              <w:jc w:val="left"/>
            </w:pPr>
            <w:r>
              <w:t xml:space="preserve">2,500,000</w:t>
            </w:r>
          </w:p>
        </w:tc>
        <w:tc>
          <w:tcPr/>
          <w:p>
            <w:pPr>
              <w:pStyle w:val="Compact"/>
              <w:jc w:val="left"/>
            </w:pPr>
            <w:r>
              <w:t xml:space="preserve">75,000,000</w:t>
            </w:r>
          </w:p>
        </w:tc>
      </w:tr>
      <w:tr>
        <w:tc>
          <w:tcPr/>
          <w:p>
            <w:pPr>
              <w:pStyle w:val="Compact"/>
              <w:jc w:val="left"/>
            </w:pPr>
            <w:r>
              <w:t xml:space="preserve">2</w:t>
            </w:r>
          </w:p>
        </w:tc>
        <w:tc>
          <w:tcPr/>
          <w:p>
            <w:pPr>
              <w:pStyle w:val="Compact"/>
              <w:jc w:val="left"/>
            </w:pPr>
            <w:r>
              <w:t xml:space="preserve">Firefighter Training Session – Quarterly Fire Safety Drills and Evacuation Procedures for 200 Building Occupants, Indonesia Jakarta</w:t>
            </w:r>
          </w:p>
        </w:tc>
        <w:tc>
          <w:tcPr/>
          <w:p>
            <w:pPr>
              <w:pStyle w:val="Compact"/>
              <w:jc w:val="left"/>
            </w:pPr>
            <w:r>
              <w:t xml:space="preserve">2 sessions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3</w:t>
            </w:r>
          </w:p>
        </w:tc>
        <w:tc>
          <w:tcPr/>
          <w:p>
            <w:pPr>
              <w:pStyle w:val="Compact"/>
              <w:jc w:val="left"/>
            </w:pPr>
            <w:r>
              <w:t xml:space="preserve">Firefighter Equipment Inspection – Full Audit of Fire Extinguishers, Sprinkler Systems, Fire Alarm Panels, and Emergency Lighting across all 32 floors</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Certified Firefighter Supervisor – Senior Firefighter Officer On-Site Supervision and Incident Command Reporting, Indonesia Jakarta</w:t>
            </w:r>
          </w:p>
        </w:tc>
        <w:tc>
          <w:tcPr/>
          <w:p>
            <w:pPr>
              <w:pStyle w:val="Compact"/>
              <w:jc w:val="left"/>
            </w:pPr>
            <w:r>
              <w:t xml:space="preserve">30 days</w:t>
            </w:r>
          </w:p>
        </w:tc>
        <w:tc>
          <w:tcPr/>
          <w:p>
            <w:pPr>
              <w:pStyle w:val="Compact"/>
              <w:jc w:val="left"/>
            </w:pPr>
            <w:r>
              <w:t xml:space="preserve">1,800,000</w:t>
            </w:r>
          </w:p>
        </w:tc>
        <w:tc>
          <w:tcPr/>
          <w:p>
            <w:pPr>
              <w:pStyle w:val="Compact"/>
              <w:jc w:val="left"/>
            </w:pPr>
            <w:r>
              <w:t xml:space="preserve">54,000,000</w:t>
            </w:r>
          </w:p>
        </w:tc>
      </w:tr>
      <w:tr>
        <w:tc>
          <w:tcPr/>
          <w:p>
            <w:pPr>
              <w:pStyle w:val="Compact"/>
              <w:jc w:val="left"/>
            </w:pPr>
            <w:r>
              <w:t xml:space="preserve">5</w:t>
            </w:r>
          </w:p>
        </w:tc>
        <w:tc>
          <w:tcPr/>
          <w:p>
            <w:pPr>
              <w:pStyle w:val="Compact"/>
              <w:jc w:val="left"/>
            </w:pPr>
            <w:r>
              <w:t xml:space="preserve">Firefighter Vehicle Standby – Fire Engine and Rescue Truck On-Call Availability for Emergency Response within Indonesia Jakarta Metropolitan Area</w:t>
            </w:r>
          </w:p>
        </w:tc>
        <w:tc>
          <w:tcPr/>
          <w:p>
            <w:pPr>
              <w:pStyle w:val="Compact"/>
              <w:jc w:val="left"/>
            </w:pPr>
            <w:r>
              <w:t xml:space="preserve">30 days</w:t>
            </w:r>
          </w:p>
        </w:tc>
        <w:tc>
          <w:tcPr/>
          <w:p>
            <w:pPr>
              <w:pStyle w:val="Compact"/>
              <w:jc w:val="left"/>
            </w:pPr>
            <w:r>
              <w:t xml:space="preserve">3,200,000</w:t>
            </w:r>
          </w:p>
        </w:tc>
        <w:tc>
          <w:tcPr/>
          <w:p>
            <w:pPr>
              <w:pStyle w:val="Compact"/>
              <w:jc w:val="left"/>
            </w:pPr>
            <w:r>
              <w:t xml:space="preserve">96,000,000</w:t>
            </w:r>
          </w:p>
        </w:tc>
      </w:tr>
      <w:tr>
        <w:tc>
          <w:tcPr/>
          <w:p>
            <w:pPr>
              <w:pStyle w:val="Compact"/>
              <w:jc w:val="left"/>
            </w:pPr>
            <w:r>
              <w:t xml:space="preserve">6</w:t>
            </w:r>
          </w:p>
        </w:tc>
        <w:tc>
          <w:tcPr/>
          <w:p>
            <w:pPr>
              <w:pStyle w:val="Compact"/>
              <w:jc w:val="left"/>
            </w:pPr>
            <w:r>
              <w:t xml:space="preserve">Firefighter PPE and Gear Maintenance – Monthly Servicing of Self-Contained Breathing Apparatus (SCBA), Firefighter Helmets, and Protective Suits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Fire Risk Assessment Report – Comprehensive Firefighter Preparedness Evaluation and Compliance Documentation for Indonesia Jakarta Building Code</w:t>
            </w:r>
          </w:p>
        </w:tc>
        <w:tc>
          <w:tcPr/>
          <w:p>
            <w:pPr>
              <w:pStyle w:val="Compact"/>
              <w:jc w:val="left"/>
            </w:pPr>
            <w:r>
              <w:t xml:space="preserve">1 report</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266,000,000</w:t>
            </w:r>
          </w:p>
        </w:tc>
      </w:tr>
      <w:tr>
        <w:tc>
          <w:tcPr/>
          <w:p>
            <w:pPr>
              <w:pStyle w:val="Compact"/>
              <w:jc w:val="left"/>
            </w:pPr>
            <w:r>
              <w:t xml:space="preserve">PPN (VAT) 11%</w:t>
            </w:r>
          </w:p>
        </w:tc>
        <w:tc>
          <w:tcPr/>
          <w:p>
            <w:pPr>
              <w:pStyle w:val="Compact"/>
              <w:jc w:val="left"/>
            </w:pPr>
            <w:r>
              <w:t xml:space="preserve">29,260,000</w:t>
            </w:r>
          </w:p>
        </w:tc>
      </w:tr>
      <w:tr>
        <w:tc>
          <w:tcPr/>
          <w:p>
            <w:pPr>
              <w:pStyle w:val="Compact"/>
              <w:jc w:val="left"/>
            </w:pPr>
            <w:r>
              <w:t xml:space="preserve">Service Tax (PPh 23) 2%</w:t>
            </w:r>
          </w:p>
        </w:tc>
        <w:tc>
          <w:tcPr/>
          <w:p>
            <w:pPr>
              <w:pStyle w:val="Compact"/>
              <w:jc w:val="left"/>
            </w:pPr>
            <w:r>
              <w:t xml:space="preserve">5,320,000</w:t>
            </w:r>
          </w:p>
        </w:tc>
      </w:tr>
      <w:tr>
        <w:tc>
          <w:tcPr/>
          <w:p>
            <w:pPr>
              <w:pStyle w:val="Compact"/>
              <w:jc w:val="left"/>
            </w:pPr>
            <w:r>
              <w:t xml:space="preserve">GRAND TOTAL (IDR)</w:t>
            </w:r>
          </w:p>
        </w:tc>
        <w:tc>
          <w:tcPr/>
          <w:p>
            <w:pPr>
              <w:pStyle w:val="Compact"/>
              <w:jc w:val="left"/>
            </w:pPr>
            <w:r>
              <w:t xml:space="preserve">300,580,000</w:t>
            </w:r>
          </w:p>
        </w:tc>
      </w:tr>
    </w:tbl>
    <w:bookmarkStart w:id="24" w:name="payment-terms-conditions"/>
    <w:p>
      <w:pPr>
        <w:pStyle w:val="Heading3"/>
      </w:pPr>
      <w:r>
        <w:t xml:space="preserve">Payment Terms &amp; Conditions</w:t>
      </w:r>
    </w:p>
    <w:p>
      <w:pPr>
        <w:pStyle w:val="FirstParagraph"/>
      </w:pPr>
      <w:r>
        <w:t xml:space="preserve">This Invoice is payable within 14 (fourteen) calendar days from the Invoice date of 15 June 2025. Payment shall be made via bank transfer to the account of PT Jakarta Firefighter Services, Bank Mandiri, Account No. 137-00-2255889-1, Branch Indonesia Jakarta SCBD.</w:t>
      </w:r>
    </w:p>
    <w:p>
      <w:pPr>
        <w:pStyle w:val="BodyText"/>
      </w:pPr>
      <w:r>
        <w:t xml:space="preserve">Late payments are subject to a penalty of 2% per month as stipulated in the Firefighter Service Agreement (CTR-FF-2025-0312). This Invoice is valid only for the service period specified above and is non-transferable.</w:t>
      </w:r>
    </w:p>
    <w:p>
      <w:pPr>
        <w:pStyle w:val="BodyText"/>
      </w:pPr>
      <w:r>
        <w:t xml:space="preserve">All Firefighter personnel deployed under this Invoice hold valid certifications from the Indonesia Jakarta Fire and Rescue Authority (Damkar DKI Jakarta) and are fully insured for occupational hazards.</w:t>
      </w:r>
    </w:p>
    <w:bookmarkEnd w:id="24"/>
    <w:bookmarkStart w:id="25" w:name="important-notes"/>
    <w:p>
      <w:pPr>
        <w:pStyle w:val="Heading3"/>
      </w:pPr>
      <w:r>
        <w:t xml:space="preserve">Important Notes</w:t>
      </w:r>
    </w:p>
    <w:p>
      <w:pPr>
        <w:pStyle w:val="FirstParagraph"/>
      </w:pPr>
      <w:r>
        <w:t xml:space="preserve">1. This Invoice covers all Firefighter services rendered at the Indonesia Jakarta Tower Complex for the month of June 2025. Any additional emergency response calls beyond the standard contract scope will be invoiced separately.</w:t>
      </w:r>
    </w:p>
    <w:p>
      <w:pPr>
        <w:pStyle w:val="BodyText"/>
      </w:pPr>
      <w:r>
        <w:t xml:space="preserve">2. The Firefighter training sessions listed in Item 2 were conducted on 10 June 2025 and 24 June 2025, with full attendance records and participant sign-off sheets attached to the service report.</w:t>
      </w:r>
    </w:p>
    <w:p>
      <w:pPr>
        <w:pStyle w:val="BodyText"/>
      </w:pPr>
      <w:r>
        <w:t xml:space="preserve">3. The Fire Risk Assessment Report (Item 7) has been submitted to the client's Facilities Department on 28 June 2025 and is compliant with Indonesia Jakarta Building Regulation No. 1/2024 on Fire Safety Standards.</w:t>
      </w:r>
    </w:p>
    <w:p>
      <w:pPr>
        <w:pStyle w:val="BodyText"/>
      </w:pPr>
      <w:r>
        <w:t xml:space="preserve">4. PT Jakarta Firefighter Services maintains a 24/7 emergency hotline for Indonesia Jakarta clients. All Firefighter response times for this service period averaged 4 minutes and 32 seconds, well within the 10-minute SLA.</w:t>
      </w:r>
    </w:p>
    <w:p>
      <w:pPr>
        <w:pStyle w:val="BodyText"/>
      </w:pPr>
      <w:r>
        <w:t xml:space="preserve">5. Please retain this Invoice for your corporate tax records. A digital copy has also been sent to your accounts payable email address. For any discrepancies, contact our billing department within 7 days of the Invoice date.</w:t>
      </w:r>
    </w:p>
    <w:bookmarkEnd w:id="25"/>
    <w:p>
      <w:pPr>
        <w:pStyle w:val="BodyText"/>
      </w:pPr>
      <w:r>
        <w:rPr>
          <w:bCs/>
          <w:b/>
        </w:rPr>
        <w:t xml:space="preserve">PT Jakarta Firefighter Services</w:t>
      </w:r>
      <w:r>
        <w:t xml:space="preserve"> </w:t>
      </w:r>
      <w:r>
        <w:t xml:space="preserve">– Dedicated to Firefighter Excellence in Indonesia Jakarta</w:t>
      </w:r>
    </w:p>
    <w:p>
      <w:pPr>
        <w:pStyle w:val="BodyText"/>
      </w:pPr>
      <w:r>
        <w:t xml:space="preserve">This Invoice was generated electronically and is valid without a physical signature. Document ID: INV-JFK-2025-00487</w:t>
      </w:r>
    </w:p>
    <w:p>
      <w:pPr>
        <w:pStyle w:val="BodyText"/>
      </w:pPr>
      <w:r>
        <w:t xml:space="preserve">Registered with Indonesia Jakarta Trade Office (DPMPTSP DKI Jakarta) | Firefighter Contractor License: DKI-JKT-FF-2024-0091</w:t>
      </w:r>
    </w:p>
    <w:p>
      <w:pPr>
        <w:pStyle w:val="BodyText"/>
      </w:pPr>
      <w:r>
        <w:t xml:space="preserve">Thank you for choosing our Firefighter services in Indonesia Jakarta. Your safety is our highest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Indonesia Jakarta</dc:title>
  <dc:creator/>
  <dc:language>en</dc:language>
  <cp:keywords/>
  <dcterms:created xsi:type="dcterms:W3CDTF">2026-10-10T07:31:59Z</dcterms:created>
  <dcterms:modified xsi:type="dcterms:W3CDTF">2026-10-10T07:31:59Z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