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24c0726b00630cf360c2c396d077649dbde6440"/>
    <w:p>
      <w:pPr>
        <w:pStyle w:val="Heading1"/>
      </w:pPr>
      <w:r>
        <w:t xml:space="preserve">St. Petersburg Fire Safety Solutions Ltd.</w:t>
      </w:r>
    </w:p>
    <w:p>
      <w:pPr>
        <w:pStyle w:val="FirstParagraph"/>
      </w:pPr>
      <w:r>
        <w:t xml:space="preserve">12 Nevsky Prospekt, Building 4, Office 217</w:t>
      </w:r>
    </w:p>
    <w:p>
      <w:pPr>
        <w:pStyle w:val="BodyText"/>
      </w:pPr>
      <w:r>
        <w:t xml:space="preserve">Saint Petersburg, Russia, 191025</w:t>
      </w:r>
    </w:p>
    <w:p>
      <w:pPr>
        <w:pStyle w:val="BodyText"/>
      </w:pPr>
      <w:r>
        <w:t xml:space="preserve">Tax ID (INN): 7805432109 | KPP: 780501001</w:t>
      </w:r>
    </w:p>
    <w:p>
      <w:pPr>
        <w:pStyle w:val="BodyText"/>
      </w:pPr>
      <w:r>
        <w:t xml:space="preserve">Phone: +7 (812) 555-0142 | Email: billing@spb-firesafety.ru</w:t>
      </w:r>
    </w:p>
    <w:bookmarkEnd w:id="20"/>
    <w:bookmarkStart w:id="21" w:name="invoice"/>
    <w:p>
      <w:pPr>
        <w:pStyle w:val="Heading2"/>
      </w:pPr>
      <w:r>
        <w:t xml:space="preserve">INVOICE</w:t>
      </w:r>
    </w:p>
    <w:p>
      <w:pPr>
        <w:pStyle w:val="FirstParagraph"/>
      </w:pPr>
      <w:r>
        <w:t xml:space="preserve">Invoice No: SPB-FF-2025-00847</w:t>
      </w:r>
    </w:p>
    <w:p>
      <w:pPr>
        <w:pStyle w:val="BodyText"/>
      </w:pPr>
      <w:r>
        <w:t xml:space="preserve">Date of Issue: 15 June 2025</w:t>
      </w:r>
    </w:p>
    <w:p>
      <w:pPr>
        <w:pStyle w:val="BodyText"/>
      </w:pPr>
      <w:r>
        <w:t xml:space="preserve">Due Date: 30 June 2025</w:t>
      </w:r>
    </w:p>
    <w:p>
      <w:pPr>
        <w:pStyle w:val="BodyText"/>
      </w:pPr>
      <w:r>
        <w:t xml:space="preserve">Firefighter Services</w:t>
      </w:r>
    </w:p>
    <w:bookmarkEnd w:id="21"/>
    <w:bookmarkStart w:id="22" w:name="billed-to"/>
    <w:p>
      <w:pPr>
        <w:pStyle w:val="Heading3"/>
      </w:pPr>
      <w:r>
        <w:t xml:space="preserve">Billed To</w:t>
      </w:r>
    </w:p>
    <w:p>
      <w:pPr>
        <w:pStyle w:val="FirstParagraph"/>
      </w:pPr>
      <w:r>
        <w:rPr>
          <w:bCs/>
          <w:b/>
        </w:rPr>
        <w:t xml:space="preserve">Department of Emergency Situations</w:t>
      </w:r>
    </w:p>
    <w:p>
      <w:pPr>
        <w:pStyle w:val="BodyText"/>
      </w:pPr>
      <w:r>
        <w:t xml:space="preserve">City of Saint Petersburg, Russia</w:t>
      </w:r>
    </w:p>
    <w:p>
      <w:pPr>
        <w:pStyle w:val="BodyText"/>
      </w:pPr>
      <w:r>
        <w:t xml:space="preserve">34 Liteyny Avenue, Saint Petersburg, 191025</w:t>
      </w:r>
    </w:p>
    <w:p>
      <w:pPr>
        <w:pStyle w:val="BodyText"/>
      </w:pPr>
      <w:r>
        <w:t xml:space="preserve">Attn: Chief Inspector A. V. Petrov</w:t>
      </w:r>
    </w:p>
    <w:p>
      <w:pPr>
        <w:pStyle w:val="BodyText"/>
      </w:pPr>
      <w:r>
        <w:t xml:space="preserve">Contract Reference: DES-SPB-2025-FF-112</w:t>
      </w:r>
    </w:p>
    <w:bookmarkEnd w:id="22"/>
    <w:bookmarkStart w:id="23" w:name="service-location"/>
    <w:p>
      <w:pPr>
        <w:pStyle w:val="Heading3"/>
      </w:pPr>
      <w:r>
        <w:t xml:space="preserve">Service Location</w:t>
      </w:r>
    </w:p>
    <w:p>
      <w:pPr>
        <w:pStyle w:val="FirstParagraph"/>
      </w:pPr>
      <w:r>
        <w:rPr>
          <w:bCs/>
          <w:b/>
        </w:rPr>
        <w:t xml:space="preserve">Firefighter Training &amp; Deployment Center</w:t>
      </w:r>
    </w:p>
    <w:p>
      <w:pPr>
        <w:pStyle w:val="BodyText"/>
      </w:pPr>
      <w:r>
        <w:t xml:space="preserve">88 Moskovsky Avenue, Krasnogvardeysky District</w:t>
      </w:r>
    </w:p>
    <w:p>
      <w:pPr>
        <w:pStyle w:val="BodyText"/>
      </w:pPr>
      <w:r>
        <w:t xml:space="preserve">Saint Petersburg, Russia, 197342</w:t>
      </w:r>
    </w:p>
    <w:p>
      <w:pPr>
        <w:pStyle w:val="BodyText"/>
      </w:pPr>
      <w:r>
        <w:t xml:space="preserve">Service Period: 01 June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Certified Firefighter Training Program – Advanced Structural Firefighting (40-hour course for 25 personnel)</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Training</w:t>
            </w:r>
          </w:p>
        </w:tc>
      </w:tr>
      <w:tr>
        <w:tc>
          <w:tcPr/>
          <w:p>
            <w:pPr>
              <w:pStyle w:val="Compact"/>
              <w:jc w:val="left"/>
            </w:pPr>
            <w:r>
              <w:t xml:space="preserve">2</w:t>
            </w:r>
          </w:p>
        </w:tc>
        <w:tc>
          <w:tcPr/>
          <w:p>
            <w:pPr>
              <w:pStyle w:val="Compact"/>
              <w:jc w:val="left"/>
            </w:pPr>
            <w:r>
              <w:t xml:space="preserve">Firefighter Personal Protective Equipment (PPE) – Full turnout gear set, GOST R 12.4.280 compliant</w:t>
            </w:r>
          </w:p>
        </w:tc>
        <w:tc>
          <w:tcPr/>
          <w:p>
            <w:pPr>
              <w:pStyle w:val="Compact"/>
              <w:jc w:val="left"/>
            </w:pPr>
            <w:r>
              <w:t xml:space="preserve">25</w:t>
            </w:r>
          </w:p>
        </w:tc>
        <w:tc>
          <w:tcPr/>
          <w:p>
            <w:pPr>
              <w:pStyle w:val="Compact"/>
              <w:jc w:val="left"/>
            </w:pPr>
            <w:r>
              <w:t xml:space="preserve">42,000.00</w:t>
            </w:r>
          </w:p>
        </w:tc>
        <w:tc>
          <w:tcPr/>
          <w:p>
            <w:pPr>
              <w:pStyle w:val="Compact"/>
              <w:jc w:val="left"/>
            </w:pPr>
            <w:r>
              <w:t xml:space="preserve">1,050,000.00</w:t>
            </w:r>
          </w:p>
        </w:tc>
        <w:tc>
          <w:tcPr/>
          <w:p>
            <w:pPr>
              <w:pStyle w:val="Compact"/>
              <w:jc w:val="left"/>
            </w:pPr>
            <w:r>
              <w:t xml:space="preserve">Equipment</w:t>
            </w:r>
          </w:p>
        </w:tc>
      </w:tr>
      <w:tr>
        <w:tc>
          <w:tcPr/>
          <w:p>
            <w:pPr>
              <w:pStyle w:val="Compact"/>
              <w:jc w:val="left"/>
            </w:pPr>
            <w:r>
              <w:t xml:space="preserve">3</w:t>
            </w:r>
          </w:p>
        </w:tc>
        <w:tc>
          <w:tcPr/>
          <w:p>
            <w:pPr>
              <w:pStyle w:val="Compact"/>
              <w:jc w:val="left"/>
            </w:pPr>
            <w:r>
              <w:t xml:space="preserve">Firefighter Self-Contained Breathing Apparatus (SCBA) – 30-minute cylinder, certified for Russia Saint Petersburg municipal use</w:t>
            </w:r>
          </w:p>
        </w:tc>
        <w:tc>
          <w:tcPr/>
          <w:p>
            <w:pPr>
              <w:pStyle w:val="Compact"/>
              <w:jc w:val="left"/>
            </w:pPr>
            <w:r>
              <w:t xml:space="preserve">25</w:t>
            </w:r>
          </w:p>
        </w:tc>
        <w:tc>
          <w:tcPr/>
          <w:p>
            <w:pPr>
              <w:pStyle w:val="Compact"/>
              <w:jc w:val="left"/>
            </w:pPr>
            <w:r>
              <w:t xml:space="preserve">68,000.00</w:t>
            </w:r>
          </w:p>
        </w:tc>
        <w:tc>
          <w:tcPr/>
          <w:p>
            <w:pPr>
              <w:pStyle w:val="Compact"/>
              <w:jc w:val="left"/>
            </w:pPr>
            <w:r>
              <w:t xml:space="preserve">1,700,000.00</w:t>
            </w:r>
          </w:p>
        </w:tc>
        <w:tc>
          <w:tcPr/>
          <w:p>
            <w:pPr>
              <w:pStyle w:val="Compact"/>
              <w:jc w:val="left"/>
            </w:pPr>
            <w:r>
              <w:t xml:space="preserve">Equipment</w:t>
            </w:r>
          </w:p>
        </w:tc>
      </w:tr>
      <w:tr>
        <w:tc>
          <w:tcPr/>
          <w:p>
            <w:pPr>
              <w:pStyle w:val="Compact"/>
              <w:jc w:val="left"/>
            </w:pPr>
            <w:r>
              <w:t xml:space="preserve">4</w:t>
            </w:r>
          </w:p>
        </w:tc>
        <w:tc>
          <w:tcPr/>
          <w:p>
            <w:pPr>
              <w:pStyle w:val="Compact"/>
              <w:jc w:val="left"/>
            </w:pPr>
            <w:r>
              <w:t xml:space="preserve">Firefighter Hazardous Materials Response Training – Chemical, Biological, Radiological, Nuclear (CBRN) module</w:t>
            </w:r>
          </w:p>
        </w:tc>
        <w:tc>
          <w:tcPr/>
          <w:p>
            <w:pPr>
              <w:pStyle w:val="Compact"/>
              <w:jc w:val="left"/>
            </w:pPr>
            <w:r>
              <w:t xml:space="preserve">25</w:t>
            </w:r>
          </w:p>
        </w:tc>
        <w:tc>
          <w:tcPr/>
          <w:p>
            <w:pPr>
              <w:pStyle w:val="Compact"/>
              <w:jc w:val="left"/>
            </w:pPr>
            <w:r>
              <w:t xml:space="preserve">22,000.00</w:t>
            </w:r>
          </w:p>
        </w:tc>
        <w:tc>
          <w:tcPr/>
          <w:p>
            <w:pPr>
              <w:pStyle w:val="Compact"/>
              <w:jc w:val="left"/>
            </w:pPr>
            <w:r>
              <w:t xml:space="preserve">550,000.00</w:t>
            </w:r>
          </w:p>
        </w:tc>
        <w:tc>
          <w:tcPr/>
          <w:p>
            <w:pPr>
              <w:pStyle w:val="Compact"/>
              <w:jc w:val="left"/>
            </w:pPr>
            <w:r>
              <w:t xml:space="preserve">Training</w:t>
            </w:r>
          </w:p>
        </w:tc>
      </w:tr>
      <w:tr>
        <w:tc>
          <w:tcPr/>
          <w:p>
            <w:pPr>
              <w:pStyle w:val="Compact"/>
              <w:jc w:val="left"/>
            </w:pPr>
            <w:r>
              <w:t xml:space="preserve">5</w:t>
            </w:r>
          </w:p>
        </w:tc>
        <w:tc>
          <w:tcPr/>
          <w:p>
            <w:pPr>
              <w:pStyle w:val="Compact"/>
              <w:jc w:val="left"/>
            </w:pPr>
            <w:r>
              <w:t xml:space="preserve">Firefighter Vehicle Maintenance &amp; Inspection – Annual service for 6 fire engines stationed in Saint Petersburg</w:t>
            </w:r>
          </w:p>
        </w:tc>
        <w:tc>
          <w:tcPr/>
          <w:p>
            <w:pPr>
              <w:pStyle w:val="Compact"/>
              <w:jc w:val="left"/>
            </w:pPr>
            <w:r>
              <w:t xml:space="preserve">6</w:t>
            </w:r>
          </w:p>
        </w:tc>
        <w:tc>
          <w:tcPr/>
          <w:p>
            <w:pPr>
              <w:pStyle w:val="Compact"/>
              <w:jc w:val="left"/>
            </w:pPr>
            <w:r>
              <w:t xml:space="preserve">145,000.00</w:t>
            </w:r>
          </w:p>
        </w:tc>
        <w:tc>
          <w:tcPr/>
          <w:p>
            <w:pPr>
              <w:pStyle w:val="Compact"/>
              <w:jc w:val="left"/>
            </w:pPr>
            <w:r>
              <w:t xml:space="preserve">870,000.00</w:t>
            </w:r>
          </w:p>
        </w:tc>
        <w:tc>
          <w:tcPr/>
          <w:p>
            <w:pPr>
              <w:pStyle w:val="Compact"/>
              <w:jc w:val="left"/>
            </w:pPr>
            <w:r>
              <w:t xml:space="preserve">Maintenance</w:t>
            </w:r>
          </w:p>
        </w:tc>
      </w:tr>
      <w:tr>
        <w:tc>
          <w:tcPr/>
          <w:p>
            <w:pPr>
              <w:pStyle w:val="Compact"/>
              <w:jc w:val="left"/>
            </w:pPr>
            <w:r>
              <w:t xml:space="preserve">6</w:t>
            </w:r>
          </w:p>
        </w:tc>
        <w:tc>
          <w:tcPr/>
          <w:p>
            <w:pPr>
              <w:pStyle w:val="Compact"/>
              <w:jc w:val="left"/>
            </w:pPr>
            <w:r>
              <w:t xml:space="preserve">Firefighter Medical &amp; First Aid Certification – Wilderness and urban emergency response for all active personnel</w:t>
            </w:r>
          </w:p>
        </w:tc>
        <w:tc>
          <w:tcPr/>
          <w:p>
            <w:pPr>
              <w:pStyle w:val="Compact"/>
              <w:jc w:val="left"/>
            </w:pPr>
            <w:r>
              <w:t xml:space="preserve">25</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Training</w:t>
            </w:r>
          </w:p>
        </w:tc>
      </w:tr>
      <w:tr>
        <w:tc>
          <w:tcPr/>
          <w:p>
            <w:pPr>
              <w:pStyle w:val="Compact"/>
              <w:jc w:val="left"/>
            </w:pPr>
            <w:r>
              <w:t xml:space="preserve">7</w:t>
            </w:r>
          </w:p>
        </w:tc>
        <w:tc>
          <w:tcPr/>
          <w:p>
            <w:pPr>
              <w:pStyle w:val="Compact"/>
              <w:jc w:val="left"/>
            </w:pPr>
            <w:r>
              <w:t xml:space="preserve">Firefighter Communication System Upgrade – Digital radio network installation for Krasnogvardeysky District stations</w:t>
            </w:r>
          </w:p>
        </w:tc>
        <w:tc>
          <w:tcPr/>
          <w:p>
            <w:pPr>
              <w:pStyle w:val="Compact"/>
              <w:jc w:val="left"/>
            </w:pPr>
            <w:r>
              <w:t xml:space="preserve">1</w:t>
            </w:r>
          </w:p>
        </w:tc>
        <w:tc>
          <w:tcPr/>
          <w:p>
            <w:pPr>
              <w:pStyle w:val="Compact"/>
              <w:jc w:val="left"/>
            </w:pPr>
            <w:r>
              <w:t xml:space="preserve">2,350,000.00</w:t>
            </w:r>
          </w:p>
        </w:tc>
        <w:tc>
          <w:tcPr/>
          <w:p>
            <w:pPr>
              <w:pStyle w:val="Compact"/>
              <w:jc w:val="left"/>
            </w:pPr>
            <w:r>
              <w:t xml:space="preserve">2,350,000.00</w:t>
            </w:r>
          </w:p>
        </w:tc>
        <w:tc>
          <w:tcPr/>
          <w:p>
            <w:pPr>
              <w:pStyle w:val="Compact"/>
              <w:jc w:val="left"/>
            </w:pPr>
            <w:r>
              <w:t xml:space="preserve">Infrastructure</w:t>
            </w:r>
          </w:p>
        </w:tc>
      </w:tr>
      <w:tr>
        <w:tc>
          <w:tcPr/>
          <w:p>
            <w:pPr>
              <w:pStyle w:val="Compact"/>
              <w:jc w:val="left"/>
            </w:pPr>
            <w:r>
              <w:t xml:space="preserve">8</w:t>
            </w:r>
          </w:p>
        </w:tc>
        <w:tc>
          <w:tcPr/>
          <w:p>
            <w:pPr>
              <w:pStyle w:val="Compact"/>
              <w:jc w:val="left"/>
            </w:pPr>
            <w:r>
              <w:t xml:space="preserve">Firefighter Annual Physical Fitness Assessment &amp; Certification – Per Russian Ministry of Emergency Situations standards</w:t>
            </w:r>
          </w:p>
        </w:tc>
        <w:tc>
          <w:tcPr/>
          <w:p>
            <w:pPr>
              <w:pStyle w:val="Compact"/>
              <w:jc w:val="left"/>
            </w:pPr>
            <w:r>
              <w:t xml:space="preserve">25</w:t>
            </w:r>
          </w:p>
        </w:tc>
        <w:tc>
          <w:tcPr/>
          <w:p>
            <w:pPr>
              <w:pStyle w:val="Compact"/>
              <w:jc w:val="left"/>
            </w:pPr>
            <w:r>
              <w:t xml:space="preserve">4,800.00</w:t>
            </w:r>
          </w:p>
        </w:tc>
        <w:tc>
          <w:tcPr/>
          <w:p>
            <w:pPr>
              <w:pStyle w:val="Compact"/>
              <w:jc w:val="left"/>
            </w:pPr>
            <w:r>
              <w:t xml:space="preserve">120,000.00</w:t>
            </w:r>
          </w:p>
        </w:tc>
        <w:tc>
          <w:tcPr/>
          <w:p>
            <w:pPr>
              <w:pStyle w:val="Compact"/>
              <w:jc w:val="left"/>
            </w:pPr>
            <w:r>
              <w:t xml:space="preserve">Assessment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7,415,000.00 RUB</w:t>
            </w:r>
          </w:p>
        </w:tc>
      </w:tr>
      <w:tr>
        <w:tc>
          <w:tcPr/>
          <w:p>
            <w:pPr>
              <w:pStyle w:val="Compact"/>
              <w:jc w:val="left"/>
            </w:pPr>
            <w:r>
              <w:t xml:space="preserve">VAT (20%)</w:t>
            </w:r>
          </w:p>
        </w:tc>
        <w:tc>
          <w:tcPr/>
          <w:p>
            <w:pPr>
              <w:pStyle w:val="Compact"/>
              <w:jc w:val="right"/>
            </w:pPr>
            <w:r>
              <w:t xml:space="preserve">1,483,000.00 RUB</w:t>
            </w:r>
          </w:p>
        </w:tc>
      </w:tr>
      <w:tr>
        <w:tc>
          <w:tcPr/>
          <w:p>
            <w:pPr>
              <w:pStyle w:val="Compact"/>
              <w:jc w:val="left"/>
            </w:pPr>
            <w:r>
              <w:t xml:space="preserve">Discount – Municipal Contract (5%)</w:t>
            </w:r>
          </w:p>
        </w:tc>
        <w:tc>
          <w:tcPr/>
          <w:p>
            <w:pPr>
              <w:pStyle w:val="Compact"/>
              <w:jc w:val="right"/>
            </w:pPr>
            <w:r>
              <w:t xml:space="preserve">-370,750.00 RUB</w:t>
            </w:r>
          </w:p>
        </w:tc>
      </w:tr>
      <w:tr>
        <w:tc>
          <w:tcPr/>
          <w:p>
            <w:pPr>
              <w:pStyle w:val="Compact"/>
              <w:jc w:val="left"/>
            </w:pPr>
            <w:r>
              <w:t xml:space="preserve">Grand Total Due</w:t>
            </w:r>
          </w:p>
        </w:tc>
        <w:tc>
          <w:tcPr/>
          <w:p>
            <w:pPr>
              <w:pStyle w:val="Compact"/>
              <w:jc w:val="right"/>
            </w:pPr>
            <w:r>
              <w:t xml:space="preserve">8,527,250.00 RUB</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covers all Firefighter-related services, equipment procurement, and infrastructure upgrades rendered by St. Petersburg Fire Safety Solutions Ltd. to the Department of Emergency Situations in Russia Saint Petersburg for the period of June 2025.</w:t>
      </w:r>
    </w:p>
    <w:p>
      <w:pPr>
        <w:pStyle w:val="BodyText"/>
      </w:pPr>
      <w:r>
        <w:rPr>
          <w:bCs/>
          <w:b/>
        </w:rPr>
        <w:t xml:space="preserve">2.</w:t>
      </w:r>
      <w:r>
        <w:t xml:space="preserve"> </w:t>
      </w:r>
      <w:r>
        <w:t xml:space="preserve">All Firefighter training programs are conducted in accordance with the Federal Law of the Russian Federation No. 69-FZ "On the Fire Safety Regime" and the standards established by the Ministry of Emergency Situations of Russia (EMERCOM). Each Firefighter participant will receive a certified completion document valid for three (3) years.</w:t>
      </w:r>
    </w:p>
    <w:p>
      <w:pPr>
        <w:pStyle w:val="BodyText"/>
      </w:pPr>
      <w:r>
        <w:rPr>
          <w:bCs/>
          <w:b/>
        </w:rPr>
        <w:t xml:space="preserve">3.</w:t>
      </w:r>
      <w:r>
        <w:t xml:space="preserve"> </w:t>
      </w:r>
      <w:r>
        <w:t xml:space="preserve">All Firefighter equipment listed in this Invoice, including Personal Protective Equipment and Self-Contained Breathing Apparatus, complies with GOST R 12.4.280-2014 and has been inspected and certified for use in the climatic conditions of Saint Petersburg, Russia. A two-year manufacturer warranty applies to all equipment items.</w:t>
      </w:r>
    </w:p>
    <w:p>
      <w:pPr>
        <w:pStyle w:val="BodyText"/>
      </w:pPr>
      <w:r>
        <w:rPr>
          <w:bCs/>
          <w:b/>
        </w:rPr>
        <w:t xml:space="preserve">4.</w:t>
      </w:r>
      <w:r>
        <w:t xml:space="preserve"> </w:t>
      </w:r>
      <w:r>
        <w:t xml:space="preserve">Payment is due within fifteen (15) calendar days from the date of issue of this Invoice. Payment shall be made via bank transfer to the account of St. Petersburg Fire Safety Solutions Ltd. at Sberbank, Branch Saint Petersburg, Account No. 40702810900000012345, BIC: 044030670.</w:t>
      </w:r>
    </w:p>
    <w:p>
      <w:pPr>
        <w:pStyle w:val="BodyText"/>
      </w:pPr>
      <w:r>
        <w:rPr>
          <w:bCs/>
          <w:b/>
        </w:rPr>
        <w:t xml:space="preserve">5.</w:t>
      </w:r>
      <w:r>
        <w:t xml:space="preserve"> </w:t>
      </w:r>
      <w:r>
        <w:t xml:space="preserve">Late payments on this Invoice will incur a penalty of 0.1% per calendar day of delay, in accordance with Article 317.1 of the Civil Code of the Russian Federation.</w:t>
      </w:r>
    </w:p>
    <w:p>
      <w:pPr>
        <w:pStyle w:val="BodyText"/>
      </w:pPr>
      <w:r>
        <w:rPr>
          <w:bCs/>
          <w:b/>
        </w:rPr>
        <w:t xml:space="preserve">6.</w:t>
      </w:r>
      <w:r>
        <w:t xml:space="preserve"> </w:t>
      </w:r>
      <w:r>
        <w:t xml:space="preserve">This Invoice is issued in the Russian Federation and is governed by the laws of Russia Saint Petersburg jurisdiction. Any disputes arising from this Invoice shall be resolved through the Arbitration Court of Saint Petersburg and Leningrad Oblast.</w:t>
      </w:r>
    </w:p>
    <w:p>
      <w:pPr>
        <w:pStyle w:val="BodyText"/>
      </w:pPr>
      <w:r>
        <w:rPr>
          <w:bCs/>
          <w:b/>
        </w:rPr>
        <w:t xml:space="preserve">7.</w:t>
      </w:r>
      <w:r>
        <w:t xml:space="preserve"> </w:t>
      </w:r>
      <w:r>
        <w:t xml:space="preserve">The Firefighter communication system upgrade (Item 7) includes a 90-day post-installation support period. All hardware is registered in the municipal asset inventory of Saint Petersburg.</w:t>
      </w:r>
    </w:p>
    <w:bookmarkEnd w:id="24"/>
    <w:p>
      <w:pPr>
        <w:pStyle w:val="BodyText"/>
      </w:pPr>
      <w:r>
        <w:rPr>
          <w:bCs/>
          <w:b/>
        </w:rPr>
        <w:t xml:space="preserve">St. Petersburg Fire Safety Solutions Ltd.</w:t>
      </w:r>
      <w:r>
        <w:t xml:space="preserve"> </w:t>
      </w:r>
      <w:r>
        <w:t xml:space="preserve">| OGRN: 1187847001234 | Legal Address: 12 Nevsky Prospekt, Saint Petersburg, Russia, 191025</w:t>
      </w:r>
    </w:p>
    <w:p>
      <w:pPr>
        <w:pStyle w:val="BodyText"/>
      </w:pPr>
      <w:r>
        <w:t xml:space="preserve">This Invoice was generated electronically and is valid without a physical signature per Federal Law No. 63-FZ "On Electronic Signature."</w:t>
      </w:r>
    </w:p>
    <w:p>
      <w:pPr>
        <w:pStyle w:val="BodyText"/>
      </w:pPr>
      <w:r>
        <w:t xml:space="preserve">Document Reference: SPB-FF-2025-00847 | Firefighter Services Invoice | Russia Saint Petersburg | June 2025</w:t>
      </w:r>
    </w:p>
    <w:p>
      <w:pPr>
        <w:pStyle w:val="BodyText"/>
      </w:pPr>
      <w:r>
        <w:t xml:space="preserve">For questions regarding this Invoice, please contact our billing department at +7 (812) 555-0142 or billing@spb-firesafety.ru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Russia Saint Petersburg</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