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miami-firefighter-services-llc"/>
    <w:p>
      <w:pPr>
        <w:pStyle w:val="Heading1"/>
      </w:pPr>
      <w:r>
        <w:t xml:space="preserve">Miami Firefighter Services LLC</w:t>
      </w:r>
    </w:p>
    <w:p>
      <w:pPr>
        <w:pStyle w:val="FirstParagraph"/>
      </w:pPr>
      <w:r>
        <w:t xml:space="preserve">1200 Biscayne Boulevard, Suite 450</w:t>
      </w:r>
    </w:p>
    <w:p>
      <w:pPr>
        <w:pStyle w:val="BodyText"/>
      </w:pPr>
      <w:r>
        <w:t xml:space="preserve">Miami, Florida 33132, United States</w:t>
      </w:r>
    </w:p>
    <w:p>
      <w:pPr>
        <w:pStyle w:val="BodyText"/>
      </w:pPr>
      <w:r>
        <w:t xml:space="preserve">Phone: (305) 555-0187 | Email: billing@miamifirefighterservices.com</w:t>
      </w:r>
    </w:p>
    <w:p>
      <w:pPr>
        <w:pStyle w:val="BodyText"/>
      </w:pPr>
      <w:r>
        <w:t xml:space="preserve">Florida Business License No. FL-2024-887342</w:t>
      </w:r>
    </w:p>
    <w:p>
      <w:pPr>
        <w:pStyle w:val="BodyText"/>
      </w:pPr>
      <w:r>
        <w:t xml:space="preserve">Federal EIN: 82-4471903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MFS-2025-00472</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Service Period:</w:t>
      </w:r>
      <w:r>
        <w:t xml:space="preserve"> </w:t>
      </w:r>
      <w:r>
        <w:t xml:space="preserve">May 1 – May 31, 2025</w:t>
      </w:r>
    </w:p>
    <w:p>
      <w:pPr>
        <w:pStyle w:val="BodyText"/>
      </w:pPr>
      <w:r>
        <w:t xml:space="preserve">Firefighter Services</w:t>
      </w:r>
    </w:p>
    <w:bookmarkEnd w:id="21"/>
    <w:bookmarkStart w:id="22" w:name="bill-to"/>
    <w:p>
      <w:pPr>
        <w:pStyle w:val="Heading3"/>
      </w:pPr>
      <w:r>
        <w:t xml:space="preserve">Bill To</w:t>
      </w:r>
    </w:p>
    <w:p>
      <w:pPr>
        <w:pStyle w:val="FirstParagraph"/>
      </w:pPr>
      <w:r>
        <w:rPr>
          <w:bCs/>
          <w:b/>
        </w:rPr>
        <w:t xml:space="preserve">Harborview Commercial Properties, Inc.</w:t>
      </w:r>
    </w:p>
    <w:p>
      <w:pPr>
        <w:pStyle w:val="BodyText"/>
      </w:pPr>
      <w:r>
        <w:t xml:space="preserve">2847 Brickell Avenue, Floor 12</w:t>
      </w:r>
    </w:p>
    <w:p>
      <w:pPr>
        <w:pStyle w:val="BodyText"/>
      </w:pPr>
      <w:r>
        <w:t xml:space="preserve">Miami, Florida 33133, United States</w:t>
      </w:r>
    </w:p>
    <w:p>
      <w:pPr>
        <w:pStyle w:val="BodyText"/>
      </w:pPr>
      <w:r>
        <w:t xml:space="preserve">Attn: Mr. Daniel Reeves, Facilities Director</w:t>
      </w:r>
    </w:p>
    <w:p>
      <w:pPr>
        <w:pStyle w:val="BodyText"/>
      </w:pPr>
      <w:r>
        <w:t xml:space="preserve">Phone: (305) 555-0921</w:t>
      </w:r>
    </w:p>
    <w:p>
      <w:pPr>
        <w:pStyle w:val="BodyText"/>
      </w:pPr>
      <w:r>
        <w:t xml:space="preserve">Email: d.reeves@harborviewproperties.com</w:t>
      </w:r>
    </w:p>
    <w:bookmarkEnd w:id="22"/>
    <w:bookmarkStart w:id="23" w:name="service-location"/>
    <w:p>
      <w:pPr>
        <w:pStyle w:val="Heading3"/>
      </w:pPr>
      <w:r>
        <w:t xml:space="preserve">Service Location</w:t>
      </w:r>
    </w:p>
    <w:p>
      <w:pPr>
        <w:pStyle w:val="FirstParagraph"/>
      </w:pPr>
      <w:r>
        <w:t xml:space="preserve">Harborview Tower Complex</w:t>
      </w:r>
    </w:p>
    <w:p>
      <w:pPr>
        <w:pStyle w:val="BodyText"/>
      </w:pPr>
      <w:r>
        <w:t xml:space="preserve">2847 Brickell Avenue</w:t>
      </w:r>
    </w:p>
    <w:p>
      <w:pPr>
        <w:pStyle w:val="BodyText"/>
      </w:pPr>
      <w:r>
        <w:t xml:space="preserve">Miami, Florida 33133, United States</w:t>
      </w:r>
    </w:p>
    <w:p>
      <w:pPr>
        <w:pStyle w:val="BodyText"/>
      </w:pPr>
      <w:r>
        <w:t xml:space="preserve">Firefighter On-Site Unit: Station 7, Miami-Dade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Firefighter 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Certified Firefighter On-Site Safety Inspection – Full Building Assessment of all 24 floors, fire suppression systems, sprinkler networks, and emergency evacuation routes at the Miami commercial property.</w:t>
            </w:r>
          </w:p>
        </w:tc>
        <w:tc>
          <w:tcPr/>
          <w:p>
            <w:pPr>
              <w:pStyle w:val="Compact"/>
              <w:jc w:val="left"/>
            </w:pPr>
            <w:r>
              <w:t xml:space="preserve">May 2, 2025</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2</w:t>
            </w:r>
          </w:p>
        </w:tc>
        <w:tc>
          <w:tcPr/>
          <w:p>
            <w:pPr>
              <w:pStyle w:val="Compact"/>
              <w:jc w:val="left"/>
            </w:pPr>
            <w:r>
              <w:t xml:space="preserve">Firefighter Emergency Response Team Standby – Dedicated team of four (4) licensed Firefighter personnel on standby at the Miami premises for the duration of the annual construction renovation project, including rapid response readiness.</w:t>
            </w:r>
          </w:p>
        </w:tc>
        <w:tc>
          <w:tcPr/>
          <w:p>
            <w:pPr>
              <w:pStyle w:val="Compact"/>
              <w:jc w:val="left"/>
            </w:pPr>
            <w:r>
              <w:t xml:space="preserve">May 5 – May 23, 2025</w:t>
            </w:r>
          </w:p>
        </w:tc>
        <w:tc>
          <w:tcPr/>
          <w:p>
            <w:pPr>
              <w:pStyle w:val="Compact"/>
              <w:jc w:val="left"/>
            </w:pPr>
            <w:r>
              <w:t xml:space="preserve">160.0</w:t>
            </w:r>
          </w:p>
        </w:tc>
        <w:tc>
          <w:tcPr/>
          <w:p>
            <w:pPr>
              <w:pStyle w:val="Compact"/>
              <w:jc w:val="left"/>
            </w:pPr>
            <w:r>
              <w:t xml:space="preserve">$145.00</w:t>
            </w:r>
          </w:p>
        </w:tc>
        <w:tc>
          <w:tcPr/>
          <w:p>
            <w:pPr>
              <w:pStyle w:val="Compact"/>
              <w:jc w:val="left"/>
            </w:pPr>
            <w:r>
              <w:t xml:space="preserve">$23,200.00</w:t>
            </w:r>
          </w:p>
        </w:tc>
      </w:tr>
      <w:tr>
        <w:tc>
          <w:tcPr/>
          <w:p>
            <w:pPr>
              <w:pStyle w:val="Compact"/>
              <w:jc w:val="left"/>
            </w:pPr>
            <w:r>
              <w:t xml:space="preserve">3</w:t>
            </w:r>
          </w:p>
        </w:tc>
        <w:tc>
          <w:tcPr/>
          <w:p>
            <w:pPr>
              <w:pStyle w:val="Compact"/>
              <w:jc w:val="left"/>
            </w:pPr>
            <w:r>
              <w:t xml:space="preserve">Firefighter Training and Drills – Conducted two (2) full-scale fire evacuation drills for 340 building occupants, including hands-on Firefighter instruction on use of fire extinguishers, smoke mask deployment, and assembly point protocols in Miami.</w:t>
            </w:r>
          </w:p>
        </w:tc>
        <w:tc>
          <w:tcPr/>
          <w:p>
            <w:pPr>
              <w:pStyle w:val="Compact"/>
              <w:jc w:val="left"/>
            </w:pPr>
            <w:r>
              <w:t xml:space="preserve">May 10, 2025</w:t>
            </w:r>
          </w:p>
        </w:tc>
        <w:tc>
          <w:tcPr/>
          <w:p>
            <w:pPr>
              <w:pStyle w:val="Compact"/>
              <w:jc w:val="left"/>
            </w:pPr>
            <w:r>
              <w:t xml:space="preserve">12.0</w:t>
            </w:r>
          </w:p>
        </w:tc>
        <w:tc>
          <w:tcPr/>
          <w:p>
            <w:pPr>
              <w:pStyle w:val="Compact"/>
              <w:jc w:val="left"/>
            </w:pPr>
            <w:r>
              <w:t xml:space="preserve">$210.00</w:t>
            </w:r>
          </w:p>
        </w:tc>
        <w:tc>
          <w:tcPr/>
          <w:p>
            <w:pPr>
              <w:pStyle w:val="Compact"/>
              <w:jc w:val="left"/>
            </w:pPr>
            <w:r>
              <w:t xml:space="preserve">$2,520.00</w:t>
            </w:r>
          </w:p>
        </w:tc>
      </w:tr>
      <w:tr>
        <w:tc>
          <w:tcPr/>
          <w:p>
            <w:pPr>
              <w:pStyle w:val="Compact"/>
              <w:jc w:val="left"/>
            </w:pPr>
            <w:r>
              <w:t xml:space="preserve">4</w:t>
            </w:r>
          </w:p>
        </w:tc>
        <w:tc>
          <w:tcPr/>
          <w:p>
            <w:pPr>
              <w:pStyle w:val="Compact"/>
              <w:jc w:val="left"/>
            </w:pPr>
            <w:r>
              <w:t xml:space="preserve">Firefighter Equipment Maintenance and Calibration – Quarterly inspection, testing, and recalibration of all fire alarm panels, hydrant systems, and portable Firefighter equipment located throughout the Miami facility in compliance with Miami-Dade Fire Rescue Department regulations.</w:t>
            </w:r>
          </w:p>
        </w:tc>
        <w:tc>
          <w:tcPr/>
          <w:p>
            <w:pPr>
              <w:pStyle w:val="Compact"/>
              <w:jc w:val="left"/>
            </w:pPr>
            <w:r>
              <w:t xml:space="preserve">May 16, 2025</w:t>
            </w:r>
          </w:p>
        </w:tc>
        <w:tc>
          <w:tcPr/>
          <w:p>
            <w:pPr>
              <w:pStyle w:val="Compact"/>
              <w:jc w:val="left"/>
            </w:pPr>
            <w:r>
              <w:t xml:space="preserve">10.0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5</w:t>
            </w:r>
          </w:p>
        </w:tc>
        <w:tc>
          <w:tcPr/>
          <w:p>
            <w:pPr>
              <w:pStyle w:val="Compact"/>
              <w:jc w:val="left"/>
            </w:pPr>
            <w:r>
              <w:t xml:space="preserve">Firefighter Incident Report and Compliance Documentation – Preparation and submission of detailed Firefighter incident reports, safety compliance certificates, and regulatory documentation required by the City of Miami and the State of Florida for the month of May 2025.</w:t>
            </w:r>
          </w:p>
        </w:tc>
        <w:tc>
          <w:tcPr/>
          <w:p>
            <w:pPr>
              <w:pStyle w:val="Compact"/>
              <w:jc w:val="left"/>
            </w:pPr>
            <w:r>
              <w:t xml:space="preserve">May 30, 2025</w:t>
            </w:r>
          </w:p>
        </w:tc>
        <w:tc>
          <w:tcPr/>
          <w:p>
            <w:pPr>
              <w:pStyle w:val="Compact"/>
              <w:jc w:val="left"/>
            </w:pPr>
            <w:r>
              <w:t xml:space="preserve">4.0</w:t>
            </w:r>
          </w:p>
        </w:tc>
        <w:tc>
          <w:tcPr/>
          <w:p>
            <w:pPr>
              <w:pStyle w:val="Compact"/>
              <w:jc w:val="left"/>
            </w:pPr>
            <w:r>
              <w:t xml:space="preserve">$160.00</w:t>
            </w:r>
          </w:p>
        </w:tc>
        <w:tc>
          <w:tcPr/>
          <w:p>
            <w:pPr>
              <w:pStyle w:val="Compact"/>
              <w:jc w:val="left"/>
            </w:pPr>
            <w:r>
              <w:t xml:space="preserve">$640.00</w:t>
            </w:r>
          </w:p>
        </w:tc>
      </w:tr>
      <w:tr>
        <w:tc>
          <w:tcPr/>
          <w:p>
            <w:pPr>
              <w:pStyle w:val="Compact"/>
              <w:jc w:val="left"/>
            </w:pPr>
            <w:r>
              <w:t xml:space="preserve">6</w:t>
            </w:r>
          </w:p>
        </w:tc>
        <w:tc>
          <w:tcPr/>
          <w:p>
            <w:pPr>
              <w:pStyle w:val="Compact"/>
              <w:jc w:val="left"/>
            </w:pPr>
            <w:r>
              <w:t xml:space="preserve">Firefighter Night Shift Coverage – Extended overnight Firefighter monitoring and patrol services for the Miami property, including thermal imaging scans of electrical panels and HVAC systems to prevent potential fire hazards during unoccupied hours.</w:t>
            </w:r>
          </w:p>
        </w:tc>
        <w:tc>
          <w:tcPr/>
          <w:p>
            <w:pPr>
              <w:pStyle w:val="Compact"/>
              <w:jc w:val="left"/>
            </w:pPr>
            <w:r>
              <w:t xml:space="preserve">May 1 – May 31, 2025</w:t>
            </w:r>
          </w:p>
        </w:tc>
        <w:tc>
          <w:tcPr/>
          <w:p>
            <w:pPr>
              <w:pStyle w:val="Compact"/>
              <w:jc w:val="left"/>
            </w:pPr>
            <w:r>
              <w:t xml:space="preserve">72.0</w:t>
            </w:r>
          </w:p>
        </w:tc>
        <w:tc>
          <w:tcPr/>
          <w:p>
            <w:pPr>
              <w:pStyle w:val="Compact"/>
              <w:jc w:val="left"/>
            </w:pPr>
            <w:r>
              <w:t xml:space="preserve">$155.00</w:t>
            </w:r>
          </w:p>
        </w:tc>
        <w:tc>
          <w:tcPr/>
          <w:p>
            <w:pPr>
              <w:pStyle w:val="Compact"/>
              <w:jc w:val="left"/>
            </w:pPr>
            <w:r>
              <w:t xml:space="preserve">$11,160.00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$40,750.00</w:t>
            </w:r>
          </w:p>
        </w:tc>
      </w:tr>
      <w:tr>
        <w:tc>
          <w:tcPr/>
          <w:p>
            <w:pPr>
              <w:pStyle w:val="Compact"/>
              <w:jc w:val="left"/>
            </w:pPr>
            <w:r>
              <w:t xml:space="preserve">Discount (Long-Term Contract – 5%)</w:t>
            </w:r>
          </w:p>
        </w:tc>
        <w:tc>
          <w:tcPr/>
          <w:p>
            <w:pPr>
              <w:pStyle w:val="Compact"/>
              <w:jc w:val="right"/>
            </w:pPr>
            <w:r>
              <w:t xml:space="preserve">-$2,037.50</w:t>
            </w:r>
          </w:p>
        </w:tc>
      </w:tr>
      <w:tr>
        <w:tc>
          <w:tcPr/>
          <w:p>
            <w:pPr>
              <w:pStyle w:val="Compact"/>
              <w:jc w:val="left"/>
            </w:pPr>
            <w:r>
              <w:t xml:space="preserve">Florida State Sales Tax (7.0%)</w:t>
            </w:r>
          </w:p>
        </w:tc>
        <w:tc>
          <w:tcPr/>
          <w:p>
            <w:pPr>
              <w:pStyle w:val="Compact"/>
              <w:jc w:val="right"/>
            </w:pPr>
            <w:r>
              <w:t xml:space="preserve">$2,704.38</w:t>
            </w:r>
          </w:p>
        </w:tc>
      </w:tr>
      <w:tr>
        <w:tc>
          <w:tcPr/>
          <w:p>
            <w:pPr>
              <w:pStyle w:val="Compact"/>
              <w:jc w:val="left"/>
            </w:pPr>
            <w:r>
              <w:t xml:space="preserve">Miami-Dade County Surcharge (1.0%)</w:t>
            </w:r>
          </w:p>
        </w:tc>
        <w:tc>
          <w:tcPr/>
          <w:p>
            <w:pPr>
              <w:pStyle w:val="Compact"/>
              <w:jc w:val="right"/>
            </w:pPr>
            <w:r>
              <w:t xml:space="preserve">$387.13</w:t>
            </w:r>
          </w:p>
        </w:tc>
      </w:tr>
      <w:tr>
        <w:tc>
          <w:tcPr/>
          <w:p>
            <w:pPr>
              <w:pStyle w:val="Compact"/>
              <w:jc w:val="left"/>
            </w:pPr>
            <w:r>
              <w:t xml:space="preserve">Miami City Tax (0.5%)</w:t>
            </w:r>
          </w:p>
        </w:tc>
        <w:tc>
          <w:tcPr/>
          <w:p>
            <w:pPr>
              <w:pStyle w:val="Compact"/>
              <w:jc w:val="right"/>
            </w:pPr>
            <w:r>
              <w:t xml:space="preserve">$193.56</w:t>
            </w:r>
          </w:p>
        </w:tc>
      </w:tr>
      <w:tr>
        <w:tc>
          <w:tcPr/>
          <w:p>
            <w:pPr>
              <w:pStyle w:val="Compact"/>
              <w:jc w:val="left"/>
            </w:pPr>
            <w:r>
              <w:t xml:space="preserve">Grand Total Due</w:t>
            </w:r>
          </w:p>
        </w:tc>
        <w:tc>
          <w:tcPr/>
          <w:p>
            <w:pPr>
              <w:pStyle w:val="Compact"/>
              <w:jc w:val="right"/>
            </w:pPr>
            <w:r>
              <w:t xml:space="preserve">$42,000.00</w:t>
            </w:r>
          </w:p>
        </w:tc>
      </w:tr>
    </w:tbl>
    <w:bookmarkStart w:id="24" w:name="payment-terms-and-notes"/>
    <w:p>
      <w:pPr>
        <w:pStyle w:val="Heading3"/>
      </w:pPr>
      <w:r>
        <w:t xml:space="preserve">Payment Terms and Notes</w:t>
      </w:r>
    </w:p>
    <w:p>
      <w:pPr>
        <w:pStyle w:val="FirstParagraph"/>
      </w:pPr>
      <w:r>
        <w:rPr>
          <w:bCs/>
          <w:b/>
        </w:rPr>
        <w:t xml:space="preserve">Payment Due:</w:t>
      </w:r>
      <w:r>
        <w:t xml:space="preserve"> </w:t>
      </w:r>
      <w:r>
        <w:t xml:space="preserve">Full payment of $42,000.00 USD is due within thirty (30) days of the invoice date, no later than July 14, 2025. Late payments will incur a penalty of 1.5% per month as permitted under Florida Statute Chapter 668.</w:t>
      </w:r>
    </w:p>
    <w:p>
      <w:pPr>
        <w:pStyle w:val="BodyText"/>
      </w:pPr>
      <w:r>
        <w:rPr>
          <w:bCs/>
          <w:b/>
        </w:rPr>
        <w:t xml:space="preserve">Payment Methods Accepted:</w:t>
      </w:r>
      <w:r>
        <w:t xml:space="preserve"> </w:t>
      </w:r>
      <w:r>
        <w:t xml:space="preserve">Wire transfer to Miami Firefighter Services LLC, Bank of America, Account No. ****-5821, Routing No. 026009593. Checks payable to "Miami Firefighter Services LLC" and mailed to our Miami, Florida office. ACH and electronic payment via our secure portal are also available.</w:t>
      </w:r>
    </w:p>
    <w:p>
      <w:pPr>
        <w:pStyle w:val="BodyText"/>
      </w:pPr>
      <w:r>
        <w:rPr>
          <w:bCs/>
          <w:b/>
        </w:rPr>
        <w:t xml:space="preserve">Firefighter Certification:</w:t>
      </w:r>
      <w:r>
        <w:t xml:space="preserve"> </w:t>
      </w:r>
      <w:r>
        <w:t xml:space="preserve">All Firefighter personnel assigned to this contract hold valid Florida Firefighter certification (Class A and Class B) issued by the Florida Department of Business and Professional Regulation. All Firefighter team members are also certified by the Miami-Dade Fire Rescue Department for commercial property operations in the United States.</w:t>
      </w:r>
    </w:p>
    <w:p>
      <w:pPr>
        <w:pStyle w:val="BodyText"/>
      </w:pPr>
      <w:r>
        <w:rPr>
          <w:bCs/>
          <w:b/>
        </w:rPr>
        <w:t xml:space="preserve">Compliance:</w:t>
      </w:r>
      <w:r>
        <w:t xml:space="preserve"> </w:t>
      </w:r>
      <w:r>
        <w:t xml:space="preserve">All Firefighter services rendered in Miami, Florida, United States, are performed in full compliance with the International Fire Code (IFC), NFPA 101 Life Safety Code, and all applicable Miami-Dade County fire safety ordinances. This invoice covers services exclusively within the jurisdiction of the City of Miami, Florida.</w:t>
      </w:r>
    </w:p>
    <w:p>
      <w:pPr>
        <w:pStyle w:val="BodyText"/>
      </w:pPr>
      <w:r>
        <w:rPr>
          <w:bCs/>
          <w:b/>
        </w:rPr>
        <w:t xml:space="preserve">Questions:</w:t>
      </w:r>
      <w:r>
        <w:t xml:space="preserve"> </w:t>
      </w:r>
      <w:r>
        <w:t xml:space="preserve">For any questions regarding this Firefighter services invoice, please contact our Miami billing department at (305) 555-0187 or billing@miamifirefighterservices.com. Reference Invoice Number MFS-2025-00472 in all correspondence.</w:t>
      </w:r>
    </w:p>
    <w:bookmarkEnd w:id="24"/>
    <w:p>
      <w:pPr>
        <w:pStyle w:val="BodyText"/>
      </w:pPr>
      <w:r>
        <w:rPr>
          <w:bCs/>
          <w:b/>
        </w:rPr>
        <w:t xml:space="preserve">Miami Firefighter Services LLC</w:t>
      </w:r>
      <w:r>
        <w:t xml:space="preserve"> </w:t>
      </w:r>
      <w:r>
        <w:t xml:space="preserve">| 1200 Biscayne Boulevard, Suite 450, Miami, Florida 33132, United States</w:t>
      </w:r>
    </w:p>
    <w:p>
      <w:pPr>
        <w:pStyle w:val="BodyText"/>
      </w:pPr>
      <w:r>
        <w:t xml:space="preserve">Florida Business License No. FL-2024-887342 | Federal EIN: 82-4471903 | Miami-Dade Fire Contractor Permit: MDFS-2025-1102</w:t>
      </w:r>
    </w:p>
    <w:p>
      <w:pPr>
        <w:pStyle w:val="BodyText"/>
      </w:pPr>
      <w:r>
        <w:t xml:space="preserve">This invoice is generated electronically and is valid without a physical signature. Thank you for choosing Miami Firefighter Services for your property safety needs in the United States.</w:t>
      </w:r>
    </w:p>
    <w:p>
      <w:pPr>
        <w:pStyle w:val="BodyText"/>
      </w:pPr>
      <w:r>
        <w:t xml:space="preserve">© 2025 Miami Firefighter Services LLC. All rights reserved. This document is an official Firefighter services invoice issued in Miami, Florida,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Miami, United States</dc:title>
  <dc:creator/>
  <dc:language>en</dc:language>
  <cp:keywords/>
  <dcterms:created xsi:type="dcterms:W3CDTF">2026-10-10T04:40:25Z</dcterms:created>
  <dcterms:modified xsi:type="dcterms:W3CDTF">2026-10-10T04:40:25Z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