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Consulting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dr.-markus-steinhardt-geologist"/>
    <w:p>
      <w:pPr>
        <w:pStyle w:val="Heading1"/>
      </w:pPr>
      <w:r>
        <w:t xml:space="preserve">Dr. Markus Steinhardt, Geologist</w:t>
      </w:r>
    </w:p>
    <w:p>
      <w:pPr>
        <w:pStyle w:val="FirstParagraph"/>
      </w:pPr>
      <w:r>
        <w:t xml:space="preserve">Geological Consulting &amp; Environmental Assessment</w:t>
      </w:r>
    </w:p>
    <w:p>
      <w:pPr>
        <w:pStyle w:val="BodyText"/>
      </w:pPr>
      <w:r>
        <w:t xml:space="preserve">Frankfurter Allee 217, 10247 Berlin, Germany</w:t>
      </w:r>
    </w:p>
    <w:p>
      <w:pPr>
        <w:pStyle w:val="BodyText"/>
      </w:pPr>
      <w:r>
        <w:t xml:space="preserve">Tel: +49 (0)30 4567 8901 | Email: m.steinhardt@geolog-berlin.de</w:t>
      </w:r>
    </w:p>
    <w:p>
      <w:pPr>
        <w:pStyle w:val="BodyText"/>
      </w:pPr>
      <w:r>
        <w:t xml:space="preserve">USt-IdNr: DE 312 456 789</w:t>
      </w:r>
    </w:p>
    <w:bookmarkEnd w:id="20"/>
    <w:bookmarkStart w:id="21" w:name="invoice"/>
    <w:p>
      <w:pPr>
        <w:pStyle w:val="Heading2"/>
      </w:pPr>
      <w:r>
        <w:t xml:space="preserve">INVOICE</w:t>
      </w:r>
    </w:p>
    <w:p>
      <w:pPr>
        <w:pStyle w:val="FirstParagraph"/>
      </w:pPr>
      <w:r>
        <w:t xml:space="preserve">Rechnung</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INV-2025-0472</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Project Reference:</w:t>
            </w:r>
          </w:p>
        </w:tc>
        <w:tc>
          <w:tcPr/>
          <w:p>
            <w:pPr>
              <w:pStyle w:val="Compact"/>
              <w:jc w:val="left"/>
            </w:pPr>
            <w:r>
              <w:t xml:space="preserve">BER-GEOL-2025-019 – Geological Site Assessment, Spandau District, Berlin</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Currency:</w:t>
            </w:r>
          </w:p>
        </w:tc>
        <w:tc>
          <w:tcPr/>
          <w:p>
            <w:pPr>
              <w:pStyle w:val="Compact"/>
              <w:jc w:val="left"/>
            </w:pPr>
            <w:r>
              <w:t xml:space="preserve">Euro (EUR)</w:t>
            </w:r>
          </w:p>
        </w:tc>
      </w:tr>
    </w:tbl>
    <w:bookmarkStart w:id="22" w:name="issued-by-geologist-service-provider"/>
    <w:p>
      <w:pPr>
        <w:pStyle w:val="Heading3"/>
      </w:pPr>
      <w:r>
        <w:t xml:space="preserve">Issued By (Geologist / Service Provider)</w:t>
      </w:r>
    </w:p>
    <w:p>
      <w:pPr>
        <w:pStyle w:val="FirstParagraph"/>
      </w:pPr>
      <w:r>
        <w:rPr>
          <w:bCs/>
          <w:b/>
        </w:rPr>
        <w:t xml:space="preserve">Dr. Markus Steinhardt</w:t>
      </w:r>
    </w:p>
    <w:p>
      <w:pPr>
        <w:pStyle w:val="BodyText"/>
      </w:pPr>
      <w:r>
        <w:t xml:space="preserve">Chartered Geologist, M.Sc. Geology, Ph.D. Earth Sciences</w:t>
      </w:r>
    </w:p>
    <w:p>
      <w:pPr>
        <w:pStyle w:val="BodyText"/>
      </w:pPr>
      <w:r>
        <w:t xml:space="preserve">Frankfurter Allee 217</w:t>
      </w:r>
    </w:p>
    <w:p>
      <w:pPr>
        <w:pStyle w:val="BodyText"/>
      </w:pPr>
      <w:r>
        <w:t xml:space="preserve">10247 Berlin, Germany</w:t>
      </w:r>
    </w:p>
    <w:p>
      <w:pPr>
        <w:pStyle w:val="BodyText"/>
      </w:pPr>
      <w:r>
        <w:t xml:space="preserve">Registered at: Amtsgericht Berlin-Charlottenburg, HRB 123456 B</w:t>
      </w:r>
    </w:p>
    <w:p>
      <w:pPr>
        <w:pStyle w:val="BodyText"/>
      </w:pPr>
      <w:r>
        <w:t xml:space="preserve">VAT ID (USt-IdNr): DE 312 456 789</w:t>
      </w:r>
    </w:p>
    <w:bookmarkEnd w:id="22"/>
    <w:bookmarkStart w:id="23" w:name="issued-to-client"/>
    <w:p>
      <w:pPr>
        <w:pStyle w:val="Heading3"/>
      </w:pPr>
      <w:r>
        <w:t xml:space="preserve">Issued To (Client)</w:t>
      </w:r>
    </w:p>
    <w:p>
      <w:pPr>
        <w:pStyle w:val="FirstParagraph"/>
      </w:pPr>
      <w:r>
        <w:rPr>
          <w:bCs/>
          <w:b/>
        </w:rPr>
        <w:t xml:space="preserve">Berliner Stadtentwicklung GmbH</w:t>
      </w:r>
    </w:p>
    <w:p>
      <w:pPr>
        <w:pStyle w:val="BodyText"/>
      </w:pPr>
      <w:r>
        <w:t xml:space="preserve">Attn: Dr. Anja Hoffmann, Head of Urban Planning</w:t>
      </w:r>
    </w:p>
    <w:p>
      <w:pPr>
        <w:pStyle w:val="BodyText"/>
      </w:pPr>
      <w:r>
        <w:t xml:space="preserve">Leipziger Platz 12</w:t>
      </w:r>
    </w:p>
    <w:p>
      <w:pPr>
        <w:pStyle w:val="BodyText"/>
      </w:pPr>
      <w:r>
        <w:t xml:space="preserve">10117 Berlin, Germany</w:t>
      </w:r>
    </w:p>
    <w:p>
      <w:pPr>
        <w:pStyle w:val="BodyText"/>
      </w:pPr>
      <w:r>
        <w:t xml:space="preserve">VAT ID (USt-IdNr): DE 298 765 431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Initial geological site reconnaissance and subsurface mapping of the 4.2-hectare development parcel in Spandau, Berlin. Includes identification of bedrock formations, glacial deposits, and potential groundwater contamination zones in accordance with the Berlin State Building Code (BauO Bln).</w:t>
            </w:r>
          </w:p>
        </w:tc>
        <w:tc>
          <w:tcPr/>
          <w:p>
            <w:pPr>
              <w:pStyle w:val="Compact"/>
              <w:jc w:val="left"/>
            </w:pPr>
            <w:r>
              <w:t xml:space="preserve">03–07 May 2025</w:t>
            </w:r>
          </w:p>
        </w:tc>
        <w:tc>
          <w:tcPr/>
          <w:p>
            <w:pPr>
              <w:pStyle w:val="Compact"/>
              <w:jc w:val="left"/>
            </w:pPr>
            <w:r>
              <w:t xml:space="preserve">1 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Drilling and core sampling programme: 12 boreholes (depth 15–45 m) to characterise the stratigraphic column, including Quaternary sediments, Tertiary sandstone layers, and underlying Cretaceous chalk. Core logging, lithological description, and geotechnical classification per DIN 4022 and DIN 4018 standards.</w:t>
            </w:r>
          </w:p>
        </w:tc>
        <w:tc>
          <w:tcPr/>
          <w:p>
            <w:pPr>
              <w:pStyle w:val="Compact"/>
              <w:jc w:val="left"/>
            </w:pPr>
            <w:r>
              <w:t xml:space="preserve">12–23 May 2025</w:t>
            </w:r>
          </w:p>
        </w:tc>
        <w:tc>
          <w:tcPr/>
          <w:p>
            <w:pPr>
              <w:pStyle w:val="Compact"/>
              <w:jc w:val="left"/>
            </w:pPr>
            <w:r>
              <w:t xml:space="preserve">12 boreholes</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3</w:t>
            </w:r>
          </w:p>
        </w:tc>
        <w:tc>
          <w:tcPr/>
          <w:p>
            <w:pPr>
              <w:pStyle w:val="Compact"/>
              <w:jc w:val="left"/>
            </w:pPr>
            <w:r>
              <w:t xml:space="preserve">Geophysical survey: Electrical resistivity tomography (ERT) and seismic refraction profiling across the full site boundary to delineate bedrock topography, detect voids, and assess subsurface heterogeneity for foundation design purposes.</w:t>
            </w:r>
          </w:p>
        </w:tc>
        <w:tc>
          <w:tcPr/>
          <w:p>
            <w:pPr>
              <w:pStyle w:val="Compact"/>
              <w:jc w:val="left"/>
            </w:pPr>
            <w:r>
              <w:t xml:space="preserve">26–28 May 2025</w:t>
            </w:r>
          </w:p>
        </w:tc>
        <w:tc>
          <w:tcPr/>
          <w:p>
            <w:pPr>
              <w:pStyle w:val="Compact"/>
              <w:jc w:val="left"/>
            </w:pPr>
            <w:r>
              <w:t xml:space="preserve">1 lot</w:t>
            </w:r>
          </w:p>
        </w:tc>
        <w:tc>
          <w:tcPr/>
          <w:p>
            <w:pPr>
              <w:pStyle w:val="Compact"/>
              <w:jc w:val="left"/>
            </w:pPr>
            <w:r>
              <w:t xml:space="preserve">6,320.00</w:t>
            </w:r>
          </w:p>
        </w:tc>
        <w:tc>
          <w:tcPr/>
          <w:p>
            <w:pPr>
              <w:pStyle w:val="Compact"/>
              <w:jc w:val="left"/>
            </w:pPr>
            <w:r>
              <w:t xml:space="preserve">6,320.00</w:t>
            </w:r>
          </w:p>
        </w:tc>
      </w:tr>
      <w:tr>
        <w:tc>
          <w:tcPr/>
          <w:p>
            <w:pPr>
              <w:pStyle w:val="Compact"/>
              <w:jc w:val="left"/>
            </w:pPr>
            <w:r>
              <w:t xml:space="preserve">4</w:t>
            </w:r>
          </w:p>
        </w:tc>
        <w:tc>
          <w:tcPr/>
          <w:p>
            <w:pPr>
              <w:pStyle w:val="Compact"/>
              <w:jc w:val="left"/>
            </w:pPr>
            <w:r>
              <w:t xml:space="preserve">Hydrogeological assessment and groundwater level monitoring: Installation of 4 piezometers, 30-day continuous water-level logging, and analysis of groundwater flow direction and quality (pH, conductivity, nitrates, heavy metals) in compliance with the German Federal Water Act (WHG) and Berlin State Environmental Agency (LUBW) guidelines.</w:t>
            </w:r>
          </w:p>
        </w:tc>
        <w:tc>
          <w:tcPr/>
          <w:p>
            <w:pPr>
              <w:pStyle w:val="Compact"/>
              <w:jc w:val="left"/>
            </w:pPr>
            <w:r>
              <w:t xml:space="preserve">01–20 May 2025</w:t>
            </w:r>
          </w:p>
        </w:tc>
        <w:tc>
          <w:tcPr/>
          <w:p>
            <w:pPr>
              <w:pStyle w:val="Compact"/>
              <w:jc w:val="left"/>
            </w:pPr>
            <w:r>
              <w:t xml:space="preserve">1 lot</w:t>
            </w:r>
          </w:p>
        </w:tc>
        <w:tc>
          <w:tcPr/>
          <w:p>
            <w:pPr>
              <w:pStyle w:val="Compact"/>
              <w:jc w:val="left"/>
            </w:pPr>
            <w:r>
              <w:t xml:space="preserve">5,150.00</w:t>
            </w:r>
          </w:p>
        </w:tc>
        <w:tc>
          <w:tcPr/>
          <w:p>
            <w:pPr>
              <w:pStyle w:val="Compact"/>
              <w:jc w:val="left"/>
            </w:pPr>
            <w:r>
              <w:t xml:space="preserve">5,150.00</w:t>
            </w:r>
          </w:p>
        </w:tc>
      </w:tr>
      <w:tr>
        <w:tc>
          <w:tcPr/>
          <w:p>
            <w:pPr>
              <w:pStyle w:val="Compact"/>
              <w:jc w:val="left"/>
            </w:pPr>
            <w:r>
              <w:t xml:space="preserve">5</w:t>
            </w:r>
          </w:p>
        </w:tc>
        <w:tc>
          <w:tcPr/>
          <w:p>
            <w:pPr>
              <w:pStyle w:val="Compact"/>
              <w:jc w:val="left"/>
            </w:pPr>
            <w:r>
              <w:t xml:space="preserve">Preparation of the comprehensive geological site report (Baugrundgutachten) including stratigraphic cross-sections, geotechnical parameter tables, foundation recommendations, slope stability analysis, and environmental risk assessment. Report submitted in German and English, 85 pages, with 14 figures and 6 tables, formatted per DIN 4034 and DIN 4035.</w:t>
            </w:r>
          </w:p>
        </w:tc>
        <w:tc>
          <w:tcPr/>
          <w:p>
            <w:pPr>
              <w:pStyle w:val="Compact"/>
              <w:jc w:val="left"/>
            </w:pPr>
            <w:r>
              <w:t xml:space="preserve">25 May – 09 Jun 2025</w:t>
            </w:r>
          </w:p>
        </w:tc>
        <w:tc>
          <w:tcPr/>
          <w:p>
            <w:pPr>
              <w:pStyle w:val="Compact"/>
              <w:jc w:val="left"/>
            </w:pPr>
            <w:r>
              <w:t xml:space="preserve">1 report</w:t>
            </w:r>
          </w:p>
        </w:tc>
        <w:tc>
          <w:tcPr/>
          <w:p>
            <w:pPr>
              <w:pStyle w:val="Compact"/>
              <w:jc w:val="left"/>
            </w:pPr>
            <w:r>
              <w:t xml:space="preserve">7,900.00</w:t>
            </w:r>
          </w:p>
        </w:tc>
        <w:tc>
          <w:tcPr/>
          <w:p>
            <w:pPr>
              <w:pStyle w:val="Compact"/>
              <w:jc w:val="left"/>
            </w:pPr>
            <w:r>
              <w:t xml:space="preserve">7,900.00</w:t>
            </w:r>
          </w:p>
        </w:tc>
      </w:tr>
      <w:tr>
        <w:tc>
          <w:tcPr/>
          <w:p>
            <w:pPr>
              <w:pStyle w:val="Compact"/>
              <w:jc w:val="left"/>
            </w:pPr>
            <w:r>
              <w:t xml:space="preserve">6</w:t>
            </w:r>
          </w:p>
        </w:tc>
        <w:tc>
          <w:tcPr/>
          <w:p>
            <w:pPr>
              <w:pStyle w:val="Compact"/>
              <w:jc w:val="left"/>
            </w:pPr>
            <w:r>
              <w:t xml:space="preserve">On-site presentation and consultation meeting with the client's engineering team and the Berlin District Building Authority (Bezirksamt Spandau – Bauaufsicht) to discuss geological findings, foundation design implications, and any required remediation measures for contaminated soil zones identified in the northern sector of the parcel.</w:t>
            </w:r>
          </w:p>
        </w:tc>
        <w:tc>
          <w:tcPr/>
          <w:p>
            <w:pPr>
              <w:pStyle w:val="Compact"/>
              <w:jc w:val="left"/>
            </w:pPr>
            <w:r>
              <w:t xml:space="preserve">11 Jun 2025</w:t>
            </w:r>
          </w:p>
        </w:tc>
        <w:tc>
          <w:tcPr/>
          <w:p>
            <w:pPr>
              <w:pStyle w:val="Compact"/>
              <w:jc w:val="left"/>
            </w:pPr>
            <w:r>
              <w:t xml:space="preserve">1 session (3 hrs)</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7</w:t>
            </w:r>
          </w:p>
        </w:tc>
        <w:tc>
          <w:tcPr/>
          <w:p>
            <w:pPr>
              <w:pStyle w:val="Compact"/>
              <w:jc w:val="left"/>
            </w:pPr>
            <w:r>
              <w:t xml:space="preserve">Travel and field logistics within Berlin and surrounding Brandenburg region: Vehicle hire, fuel, core sample transport to accredited laboratory (GeoLab Berlin, Tempelhofstraße), and field equipment calibration. All travel conducted within the metropolitan area of Berlin, Germany.</w:t>
            </w:r>
          </w:p>
        </w:tc>
        <w:tc>
          <w:tcPr/>
          <w:p>
            <w:pPr>
              <w:pStyle w:val="Compact"/>
              <w:jc w:val="left"/>
            </w:pPr>
            <w:r>
              <w:t xml:space="preserve">03 May – 11 Jun 2025</w:t>
            </w:r>
          </w:p>
        </w:tc>
        <w:tc>
          <w:tcPr/>
          <w:p>
            <w:pPr>
              <w:pStyle w:val="Compact"/>
              <w:jc w:val="left"/>
            </w:pPr>
            <w:r>
              <w:t xml:space="preserve">1 lot</w:t>
            </w:r>
          </w:p>
        </w:tc>
        <w:tc>
          <w:tcPr/>
          <w:p>
            <w:pPr>
              <w:pStyle w:val="Compact"/>
              <w:jc w:val="left"/>
            </w:pPr>
            <w:r>
              <w:t xml:space="preserve">1,180.00</w:t>
            </w:r>
          </w:p>
        </w:tc>
        <w:tc>
          <w:tcPr/>
          <w:p>
            <w:pPr>
              <w:pStyle w:val="Compact"/>
              <w:jc w:val="left"/>
            </w:pPr>
            <w:r>
              <w:t xml:space="preserve">1,180.00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41,730.00 EUR</w:t>
            </w:r>
          </w:p>
        </w:tc>
      </w:tr>
      <w:tr>
        <w:tc>
          <w:tcPr/>
          <w:p>
            <w:pPr>
              <w:pStyle w:val="Compact"/>
              <w:jc w:val="left"/>
            </w:pPr>
            <w:r>
              <w:t xml:space="preserve">VAT (MwSt) 19%</w:t>
            </w:r>
          </w:p>
        </w:tc>
        <w:tc>
          <w:tcPr/>
          <w:p>
            <w:pPr>
              <w:pStyle w:val="Compact"/>
              <w:jc w:val="left"/>
            </w:pPr>
            <w:r>
              <w:t xml:space="preserve">7,928.70 EUR</w:t>
            </w:r>
          </w:p>
        </w:tc>
      </w:tr>
      <w:tr>
        <w:tc>
          <w:tcPr/>
          <w:p>
            <w:pPr>
              <w:pStyle w:val="Compact"/>
              <w:jc w:val="left"/>
            </w:pPr>
            <w:r>
              <w:t xml:space="preserve">Total Amount Due (Brutto)</w:t>
            </w:r>
          </w:p>
        </w:tc>
        <w:tc>
          <w:tcPr/>
          <w:p>
            <w:pPr>
              <w:pStyle w:val="Compact"/>
              <w:jc w:val="left"/>
            </w:pPr>
            <w:r>
              <w:t xml:space="preserve">49,658.70 EUR</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Berliner Volksbank eG</w:t>
      </w:r>
    </w:p>
    <w:p>
      <w:pPr>
        <w:pStyle w:val="BodyText"/>
      </w:pPr>
      <w:r>
        <w:rPr>
          <w:bCs/>
          <w:b/>
        </w:rPr>
        <w:t xml:space="preserve">IBAN:</w:t>
      </w:r>
      <w:r>
        <w:t xml:space="preserve"> </w:t>
      </w:r>
      <w:r>
        <w:t xml:space="preserve">DE89 1009 0000 4503 7295 00</w:t>
      </w:r>
    </w:p>
    <w:p>
      <w:pPr>
        <w:pStyle w:val="BodyText"/>
      </w:pPr>
      <w:r>
        <w:rPr>
          <w:bCs/>
          <w:b/>
        </w:rPr>
        <w:t xml:space="preserve">BIC:</w:t>
      </w:r>
      <w:r>
        <w:t xml:space="preserve"> </w:t>
      </w:r>
      <w:r>
        <w:t xml:space="preserve">BEVODEM1SOL</w:t>
      </w:r>
    </w:p>
    <w:p>
      <w:pPr>
        <w:pStyle w:val="BodyText"/>
      </w:pPr>
      <w:r>
        <w:rPr>
          <w:bCs/>
          <w:b/>
        </w:rPr>
        <w:t xml:space="preserve">Account Holder:</w:t>
      </w:r>
      <w:r>
        <w:t xml:space="preserve"> </w:t>
      </w:r>
      <w:r>
        <w:t xml:space="preserve">Dr. Markus Steinhardt</w:t>
      </w:r>
    </w:p>
    <w:p>
      <w:pPr>
        <w:pStyle w:val="BodyText"/>
      </w:pPr>
      <w:r>
        <w:rPr>
          <w:bCs/>
          <w:b/>
        </w:rPr>
        <w:t xml:space="preserve">Reference (Verwendungszweck):</w:t>
      </w:r>
      <w:r>
        <w:t xml:space="preserve"> </w:t>
      </w:r>
      <w:r>
        <w:t xml:space="preserve">INV-2025-0472 / BER-GEOL-2025-019</w:t>
      </w:r>
    </w:p>
    <w:bookmarkEnd w:id="24"/>
    <w:bookmarkStart w:id="25" w:name="payment-terms"/>
    <w:p>
      <w:pPr>
        <w:pStyle w:val="Heading3"/>
      </w:pPr>
      <w:r>
        <w:t xml:space="preserve">Payment Terms</w:t>
      </w:r>
    </w:p>
    <w:p>
      <w:pPr>
        <w:pStyle w:val="FirstParagraph"/>
      </w:pPr>
      <w:r>
        <w:t xml:space="preserve">Payment due within 30 days of invoice date.</w:t>
      </w:r>
    </w:p>
    <w:p>
      <w:pPr>
        <w:pStyle w:val="BodyText"/>
      </w:pPr>
      <w:r>
        <w:t xml:space="preserve">Bank transfer (Überweisung) to the IBAN listed above.</w:t>
      </w:r>
    </w:p>
    <w:p>
      <w:pPr>
        <w:pStyle w:val="BodyText"/>
      </w:pPr>
      <w:r>
        <w:t xml:space="preserve">Late payment interest: 8 percentage points above the ECB base rate (per § 288 BGB).</w:t>
      </w:r>
    </w:p>
    <w:p>
      <w:pPr>
        <w:pStyle w:val="BodyText"/>
      </w:pPr>
      <w:r>
        <w:t xml:space="preserve">Set-off rights are excluded unless claims are undisputed or legally established.</w:t>
      </w:r>
    </w:p>
    <w:bookmarkEnd w:id="25"/>
    <w:bookmarkStart w:id="26" w:name="notes-conditions"/>
    <w:p>
      <w:pPr>
        <w:pStyle w:val="Heading3"/>
      </w:pPr>
      <w:r>
        <w:t xml:space="preserve">Notes &amp; Conditions</w:t>
      </w:r>
    </w:p>
    <w:p>
      <w:pPr>
        <w:numPr>
          <w:ilvl w:val="0"/>
          <w:numId w:val="1001"/>
        </w:numPr>
        <w:pStyle w:val="Compact"/>
      </w:pPr>
      <w:r>
        <w:t xml:space="preserve">This invoice is issued in accordance with § 14 of the German VAT Act (Umsatzsteuergesetz – UStG) and § 25 of the German Tax Procedure Code (Abgabenordnung – AO).</w:t>
      </w:r>
    </w:p>
    <w:p>
      <w:pPr>
        <w:numPr>
          <w:ilvl w:val="0"/>
          <w:numId w:val="1001"/>
        </w:numPr>
        <w:pStyle w:val="Compact"/>
      </w:pPr>
      <w:r>
        <w:t xml:space="preserve">All geological fieldwork was conducted in full compliance with the Berlin State Mining Act (Berggesetz Berlin) and relevant environmental protection regulations of the Federal Republic of Germany.</w:t>
      </w:r>
    </w:p>
    <w:p>
      <w:pPr>
        <w:numPr>
          <w:ilvl w:val="0"/>
          <w:numId w:val="1001"/>
        </w:numPr>
        <w:pStyle w:val="Compact"/>
      </w:pPr>
      <w:r>
        <w:t xml:space="preserve">Core samples and borehole logs are archived at the Geologist's office in Berlin for a minimum retention period of 10 years, as required by the Berlin State Building Authority.</w:t>
      </w:r>
    </w:p>
    <w:p>
      <w:pPr>
        <w:numPr>
          <w:ilvl w:val="0"/>
          <w:numId w:val="1001"/>
        </w:numPr>
        <w:pStyle w:val="Compact"/>
      </w:pPr>
      <w:r>
        <w:t xml:space="preserve">The geological site report (Baugrundgutachten) is valid for 12 months from the date of issue. Any subsequent construction activity beyond this period requires a supplementary geological assessment.</w:t>
      </w:r>
    </w:p>
    <w:p>
      <w:pPr>
        <w:numPr>
          <w:ilvl w:val="0"/>
          <w:numId w:val="1001"/>
        </w:numPr>
        <w:pStyle w:val="Compact"/>
      </w:pPr>
      <w:r>
        <w:t xml:space="preserve">This invoice constitutes a final settlement for all geological services rendered under Project Reference BER-GEOL-2025-019. No additional charges will be incurred unless a formal change order is issued in writing by both parties.</w:t>
      </w:r>
    </w:p>
    <w:p>
      <w:pPr>
        <w:numPr>
          <w:ilvl w:val="0"/>
          <w:numId w:val="1001"/>
        </w:numPr>
        <w:pStyle w:val="Compact"/>
      </w:pPr>
      <w:r>
        <w:t xml:space="preserve">The Geologist confirms that all subsurface data, borehole coordinates, and geophysical survey results are provided exclusively to the named client and may not be reproduced or distributed to third parties without prior written consent.</w:t>
      </w:r>
    </w:p>
    <w:bookmarkEnd w:id="26"/>
    <w:p>
      <w:pPr>
        <w:pStyle w:val="FirstParagraph"/>
      </w:pPr>
      <w:r>
        <w:rPr>
          <w:bCs/>
          <w:b/>
        </w:rPr>
        <w:t xml:space="preserve">Dr. Markus Steinhardt – Geologist</w:t>
      </w:r>
      <w:r>
        <w:t xml:space="preserve"> </w:t>
      </w:r>
      <w:r>
        <w:t xml:space="preserve">| Frankfurter Allee 217, 10247 Berlin, Germany</w:t>
      </w:r>
    </w:p>
    <w:p>
      <w:pPr>
        <w:pStyle w:val="BodyText"/>
      </w:pPr>
      <w:r>
        <w:t xml:space="preserve">USt-IdNr: DE 312 456 789 | HRB 123456 B, Amtsgericht Berlin-Charlottenburg</w:t>
      </w:r>
    </w:p>
    <w:p>
      <w:pPr>
        <w:pStyle w:val="BodyText"/>
      </w:pPr>
      <w:r>
        <w:t xml:space="preserve">Member of the Geological Society of Germany (Geologische Gesellschaften Deutschlands – GGD)</w:t>
      </w:r>
    </w:p>
    <w:p>
      <w:pPr>
        <w:pStyle w:val="BodyText"/>
      </w:pPr>
      <w:r>
        <w:t xml:space="preserve">Member of the Berlin Chamber of Engineers (Kammer der Ingenieure Berlin-Brandenburg)</w:t>
      </w:r>
    </w:p>
    <w:p>
      <w:pPr>
        <w:pStyle w:val="BodyText"/>
      </w:pPr>
      <w:r>
        <w:t xml:space="preserve">This invoice was generated electronically and is valid without a physical signature in accordance with § 14 Abs. 4 UStG. In the event of any discrepancy between the German and English versions of this document, the German version shall prevail. All disputes shall be governed by the laws of the Federal Republic of Germany, with exclusive jurisdiction of the competent courts in 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Consulting Services - Berlin, Germany</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