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Geological</w:t>
      </w:r>
      <w:r>
        <w:t xml:space="preserve"> </w:t>
      </w:r>
      <w:r>
        <w:t xml:space="preserve">Services</w:t>
      </w:r>
      <w:r>
        <w:t xml:space="preserve"> </w:t>
      </w:r>
      <w:r>
        <w:t xml:space="preserve">Invoice</w:t>
      </w:r>
      <w:r>
        <w:t xml:space="preserve"> </w:t>
      </w:r>
      <w:r>
        <w:t xml:space="preserve">-</w:t>
      </w:r>
      <w:r>
        <w:t xml:space="preserve"> </w:t>
      </w:r>
      <w:r>
        <w:t xml:space="preserve">Iran</w:t>
      </w:r>
      <w:r>
        <w:t xml:space="preserve"> </w:t>
      </w:r>
      <w:r>
        <w:t xml:space="preserve">Tehran</w:t>
      </w:r>
    </w:p>
    <w:bookmarkStart w:id="20" w:name="tehran-geoconsult-ltd."/>
    <w:p>
      <w:pPr>
        <w:pStyle w:val="Heading1"/>
      </w:pPr>
      <w:r>
        <w:t xml:space="preserve">Tehran GeoConsult Ltd.</w:t>
      </w:r>
    </w:p>
    <w:p>
      <w:pPr>
        <w:pStyle w:val="FirstParagraph"/>
      </w:pPr>
      <w:r>
        <w:t xml:space="preserve">Professional Geological Survey &amp; Consulting Firm</w:t>
      </w:r>
    </w:p>
    <w:p>
      <w:pPr>
        <w:pStyle w:val="BodyText"/>
      </w:pPr>
      <w:r>
        <w:t xml:space="preserve">Address: Valiasr Street, District 6, Iran Tehran</w:t>
      </w:r>
    </w:p>
    <w:p>
      <w:pPr>
        <w:pStyle w:val="BodyText"/>
      </w:pPr>
      <w:r>
        <w:t xml:space="preserve">Phone: +98-21-8876-5432 | Email: info@tehrangeoconsult.ir</w:t>
      </w:r>
    </w:p>
    <w:p>
      <w:pPr>
        <w:pStyle w:val="BodyText"/>
      </w:pPr>
      <w:r>
        <w:t xml:space="preserve">Registration No: IR-GEOL-2019-44821</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TGC-2025-00847</w:t>
      </w:r>
      <w:r>
        <w:t xml:space="preserve"> </w:t>
      </w:r>
      <w:r>
        <w:rPr>
          <w:bCs/>
          <w:b/>
        </w:rPr>
        <w:t xml:space="preserve">Date of Issue:</w:t>
      </w:r>
      <w:r>
        <w:t xml:space="preserve"> </w:t>
      </w:r>
      <w:r>
        <w:t xml:space="preserve">15 June 2025</w:t>
      </w:r>
      <w:r>
        <w:t xml:space="preserve"> </w:t>
      </w:r>
      <w:r>
        <w:rPr>
          <w:bCs/>
          <w:b/>
        </w:rPr>
        <w:t xml:space="preserve">Due Date:</w:t>
      </w:r>
      <w:r>
        <w:t xml:space="preserve"> </w:t>
      </w:r>
      <w:r>
        <w:t xml:space="preserve">15 July 2025</w:t>
      </w:r>
      <w:r>
        <w:t xml:space="preserve"> </w:t>
      </w:r>
      <w:r>
        <w:rPr>
          <w:bCs/>
          <w:b/>
        </w:rPr>
        <w:t xml:space="preserve">Project Ref:</w:t>
      </w:r>
      <w:r>
        <w:t xml:space="preserve"> </w:t>
      </w:r>
      <w:r>
        <w:t xml:space="preserve">GEO-THR-2025-031</w:t>
      </w:r>
    </w:p>
    <w:bookmarkEnd w:id="21"/>
    <w:bookmarkStart w:id="22" w:name="bill-to-client"/>
    <w:p>
      <w:pPr>
        <w:pStyle w:val="Heading3"/>
      </w:pPr>
      <w:r>
        <w:t xml:space="preserve">Bill To (Client)</w:t>
      </w:r>
    </w:p>
    <w:p>
      <w:pPr>
        <w:pStyle w:val="FirstParagraph"/>
      </w:pPr>
      <w:r>
        <w:rPr>
          <w:bCs/>
          <w:b/>
        </w:rPr>
        <w:t xml:space="preserve">Tehran Metropolitan Development Authority</w:t>
      </w:r>
    </w:p>
    <w:p>
      <w:pPr>
        <w:pStyle w:val="BodyText"/>
      </w:pPr>
      <w:r>
        <w:t xml:space="preserve">Attabat Street, District 1, Iran Tehran</w:t>
      </w:r>
    </w:p>
    <w:p>
      <w:pPr>
        <w:pStyle w:val="BodyText"/>
      </w:pPr>
      <w:r>
        <w:t xml:space="preserve">Contact: Mr. Reza Karimi, Project Director</w:t>
      </w:r>
    </w:p>
    <w:p>
      <w:pPr>
        <w:pStyle w:val="BodyText"/>
      </w:pPr>
      <w:r>
        <w:t xml:space="preserve">Email: r.karimi@tmde.ir</w:t>
      </w:r>
    </w:p>
    <w:p>
      <w:pPr>
        <w:pStyle w:val="BodyText"/>
      </w:pPr>
      <w:r>
        <w:t xml:space="preserve">Tax ID: 102-448-7721</w:t>
      </w:r>
    </w:p>
    <w:bookmarkEnd w:id="22"/>
    <w:bookmarkStart w:id="23" w:name="service-provider"/>
    <w:p>
      <w:pPr>
        <w:pStyle w:val="Heading3"/>
      </w:pPr>
      <w:r>
        <w:t xml:space="preserve">Service Provider</w:t>
      </w:r>
    </w:p>
    <w:p>
      <w:pPr>
        <w:pStyle w:val="FirstParagraph"/>
      </w:pPr>
      <w:r>
        <w:rPr>
          <w:bCs/>
          <w:b/>
        </w:rPr>
        <w:t xml:space="preserve">Dr. Farhad Mohammadi, P.Geo</w:t>
      </w:r>
    </w:p>
    <w:p>
      <w:pPr>
        <w:pStyle w:val="BodyText"/>
      </w:pPr>
      <w:r>
        <w:t xml:space="preserve">Lead Geologist, Tehran GeoConsult Ltd.</w:t>
      </w:r>
    </w:p>
    <w:p>
      <w:pPr>
        <w:pStyle w:val="BodyText"/>
      </w:pPr>
      <w:r>
        <w:t xml:space="preserve">Licensed Geologist – Iranian Geological Society</w:t>
      </w:r>
    </w:p>
    <w:p>
      <w:pPr>
        <w:pStyle w:val="BodyText"/>
      </w:pPr>
      <w:r>
        <w:t xml:space="preserve">License No: IGS-2012-00347</w:t>
      </w:r>
    </w:p>
    <w:p>
      <w:pPr>
        <w:pStyle w:val="BodyText"/>
      </w:pPr>
      <w:r>
        <w:t xml:space="preserve">Specialization: Urban Geology &amp; Groundwater Assessment</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Geological Services</w:t>
            </w:r>
          </w:p>
        </w:tc>
        <w:tc>
          <w:tcPr/>
          <w:p>
            <w:pPr>
              <w:pStyle w:val="Compact"/>
              <w:jc w:val="left"/>
            </w:pPr>
            <w:r>
              <w:t xml:space="preserve">Location (Iran Tehran)</w:t>
            </w:r>
          </w:p>
        </w:tc>
        <w:tc>
          <w:tcPr/>
          <w:p>
            <w:pPr>
              <w:pStyle w:val="Compact"/>
              <w:jc w:val="left"/>
            </w:pPr>
            <w:r>
              <w:t xml:space="preserve">Duration</w:t>
            </w:r>
          </w:p>
        </w:tc>
        <w:tc>
          <w:tcPr/>
          <w:p>
            <w:pPr>
              <w:pStyle w:val="Compact"/>
              <w:jc w:val="left"/>
            </w:pPr>
            <w:r>
              <w:t xml:space="preserve">Rate (IRR)</w:t>
            </w:r>
          </w:p>
        </w:tc>
        <w:tc>
          <w:tcPr/>
          <w:p>
            <w:pPr>
              <w:pStyle w:val="Compact"/>
              <w:jc w:val="left"/>
            </w:pPr>
            <w:r>
              <w:t xml:space="preserve">Amount (IRR)</w:t>
            </w:r>
          </w:p>
        </w:tc>
      </w:tr>
      <w:tr>
        <w:tc>
          <w:tcPr/>
          <w:p>
            <w:pPr>
              <w:pStyle w:val="Compact"/>
              <w:jc w:val="left"/>
            </w:pPr>
            <w:r>
              <w:t xml:space="preserve">1</w:t>
            </w:r>
          </w:p>
        </w:tc>
        <w:tc>
          <w:tcPr/>
          <w:p>
            <w:pPr>
              <w:pStyle w:val="Compact"/>
              <w:jc w:val="left"/>
            </w:pPr>
            <w:r>
              <w:t xml:space="preserve">Comprehensive geological site investigation and subsurface mapping for the proposed high-rise residential complex. The Geologist conducted borehole drilling at 12 locations, soil sampling, and rock core extraction to assess foundation suitability.</w:t>
            </w:r>
          </w:p>
        </w:tc>
        <w:tc>
          <w:tcPr/>
          <w:p>
            <w:pPr>
              <w:pStyle w:val="Compact"/>
              <w:jc w:val="left"/>
            </w:pPr>
            <w:r>
              <w:t xml:space="preserve">North Tehran, District 1</w:t>
            </w:r>
          </w:p>
        </w:tc>
        <w:tc>
          <w:tcPr/>
          <w:p>
            <w:pPr>
              <w:pStyle w:val="Compact"/>
              <w:jc w:val="left"/>
            </w:pPr>
            <w:r>
              <w:t xml:space="preserve">14 days</w:t>
            </w:r>
          </w:p>
        </w:tc>
        <w:tc>
          <w:tcPr/>
          <w:p>
            <w:pPr>
              <w:pStyle w:val="Compact"/>
              <w:jc w:val="left"/>
            </w:pPr>
            <w:r>
              <w:t xml:space="preserve">85,000,000</w:t>
            </w:r>
          </w:p>
        </w:tc>
        <w:tc>
          <w:tcPr/>
          <w:p>
            <w:pPr>
              <w:pStyle w:val="Compact"/>
              <w:jc w:val="left"/>
            </w:pPr>
            <w:r>
              <w:t xml:space="preserve">1,190,000,000</w:t>
            </w:r>
          </w:p>
        </w:tc>
      </w:tr>
      <w:tr>
        <w:tc>
          <w:tcPr/>
          <w:p>
            <w:pPr>
              <w:pStyle w:val="Compact"/>
              <w:jc w:val="left"/>
            </w:pPr>
            <w:r>
              <w:t xml:space="preserve">2</w:t>
            </w:r>
          </w:p>
        </w:tc>
        <w:tc>
          <w:tcPr/>
          <w:p>
            <w:pPr>
              <w:pStyle w:val="Compact"/>
              <w:jc w:val="left"/>
            </w:pPr>
            <w:r>
              <w:t xml:space="preserve">Groundwater hydrogeological assessment including piezometer installation, water quality laboratory analysis, and aquifer yield estimation. The Geologist prepared a detailed hydrogeological report with recommendations for sustainable water extraction in the Iran Tehran metropolitan area.</w:t>
            </w:r>
          </w:p>
        </w:tc>
        <w:tc>
          <w:tcPr/>
          <w:p>
            <w:pPr>
              <w:pStyle w:val="Compact"/>
              <w:jc w:val="left"/>
            </w:pPr>
            <w:r>
              <w:t xml:space="preserve">West Tehran, District 12</w:t>
            </w:r>
          </w:p>
        </w:tc>
        <w:tc>
          <w:tcPr/>
          <w:p>
            <w:pPr>
              <w:pStyle w:val="Compact"/>
              <w:jc w:val="left"/>
            </w:pPr>
            <w:r>
              <w:t xml:space="preserve">21 days</w:t>
            </w:r>
          </w:p>
        </w:tc>
        <w:tc>
          <w:tcPr/>
          <w:p>
            <w:pPr>
              <w:pStyle w:val="Compact"/>
              <w:jc w:val="left"/>
            </w:pPr>
            <w:r>
              <w:t xml:space="preserve">62,000,000</w:t>
            </w:r>
          </w:p>
        </w:tc>
        <w:tc>
          <w:tcPr/>
          <w:p>
            <w:pPr>
              <w:pStyle w:val="Compact"/>
              <w:jc w:val="left"/>
            </w:pPr>
            <w:r>
              <w:t xml:space="preserve">1,302,000,000</w:t>
            </w:r>
          </w:p>
        </w:tc>
      </w:tr>
      <w:tr>
        <w:tc>
          <w:tcPr/>
          <w:p>
            <w:pPr>
              <w:pStyle w:val="Compact"/>
              <w:jc w:val="left"/>
            </w:pPr>
            <w:r>
              <w:t xml:space="preserve">3</w:t>
            </w:r>
          </w:p>
        </w:tc>
        <w:tc>
          <w:tcPr/>
          <w:p>
            <w:pPr>
              <w:pStyle w:val="Compact"/>
              <w:jc w:val="left"/>
            </w:pPr>
            <w:r>
              <w:t xml:space="preserve">Seismic hazard and microzonation study for the Iran Tehran urban corridor. The Geologist performed geophysical surveys (seismic refraction and electrical resistivity tomography) across 4.2 km of the planned transit corridor to identify fault zones and liquefaction-prone areas.</w:t>
            </w:r>
          </w:p>
        </w:tc>
        <w:tc>
          <w:tcPr/>
          <w:p>
            <w:pPr>
              <w:pStyle w:val="Compact"/>
              <w:jc w:val="left"/>
            </w:pPr>
            <w:r>
              <w:t xml:space="preserve">Central Tehran, District 7</w:t>
            </w:r>
          </w:p>
        </w:tc>
        <w:tc>
          <w:tcPr/>
          <w:p>
            <w:pPr>
              <w:pStyle w:val="Compact"/>
              <w:jc w:val="left"/>
            </w:pPr>
            <w:r>
              <w:t xml:space="preserve">30 days</w:t>
            </w:r>
          </w:p>
        </w:tc>
        <w:tc>
          <w:tcPr/>
          <w:p>
            <w:pPr>
              <w:pStyle w:val="Compact"/>
              <w:jc w:val="left"/>
            </w:pPr>
            <w:r>
              <w:t xml:space="preserve">120,000,000</w:t>
            </w:r>
          </w:p>
        </w:tc>
        <w:tc>
          <w:tcPr/>
          <w:p>
            <w:pPr>
              <w:pStyle w:val="Compact"/>
              <w:jc w:val="left"/>
            </w:pPr>
            <w:r>
              <w:t xml:space="preserve">3,600,000,000</w:t>
            </w:r>
          </w:p>
        </w:tc>
      </w:tr>
      <w:tr>
        <w:tc>
          <w:tcPr/>
          <w:p>
            <w:pPr>
              <w:pStyle w:val="Compact"/>
              <w:jc w:val="left"/>
            </w:pPr>
            <w:r>
              <w:t xml:space="preserve">4</w:t>
            </w:r>
          </w:p>
        </w:tc>
        <w:tc>
          <w:tcPr/>
          <w:p>
            <w:pPr>
              <w:pStyle w:val="Compact"/>
              <w:jc w:val="left"/>
            </w:pPr>
            <w:r>
              <w:t xml:space="preserve">Geotechnical laboratory testing and analysis of 48 soil and rock specimens collected during the field campaign. The Geologist supervised all testing procedures in compliance with Iranian National Building Code (Standard 2800) and prepared the final geotechnical engineering report.</w:t>
            </w:r>
          </w:p>
        </w:tc>
        <w:tc>
          <w:tcPr/>
          <w:p>
            <w:pPr>
              <w:pStyle w:val="Compact"/>
              <w:jc w:val="left"/>
            </w:pPr>
            <w:r>
              <w:t xml:space="preserve">Tehran GeoConsult Lab, Iran Tehran</w:t>
            </w:r>
          </w:p>
        </w:tc>
        <w:tc>
          <w:tcPr/>
          <w:p>
            <w:pPr>
              <w:pStyle w:val="Compact"/>
              <w:jc w:val="left"/>
            </w:pPr>
            <w:r>
              <w:t xml:space="preserve">10 days</w:t>
            </w:r>
          </w:p>
        </w:tc>
        <w:tc>
          <w:tcPr/>
          <w:p>
            <w:pPr>
              <w:pStyle w:val="Compact"/>
              <w:jc w:val="left"/>
            </w:pPr>
            <w:r>
              <w:t xml:space="preserve">45,000,000</w:t>
            </w:r>
          </w:p>
        </w:tc>
        <w:tc>
          <w:tcPr/>
          <w:p>
            <w:pPr>
              <w:pStyle w:val="Compact"/>
              <w:jc w:val="left"/>
            </w:pPr>
            <w:r>
              <w:t xml:space="preserve">450,000,000</w:t>
            </w:r>
          </w:p>
        </w:tc>
      </w:tr>
      <w:tr>
        <w:tc>
          <w:tcPr/>
          <w:p>
            <w:pPr>
              <w:pStyle w:val="Compact"/>
              <w:jc w:val="left"/>
            </w:pPr>
            <w:r>
              <w:t xml:space="preserve">5</w:t>
            </w:r>
          </w:p>
        </w:tc>
        <w:tc>
          <w:tcPr/>
          <w:p>
            <w:pPr>
              <w:pStyle w:val="Compact"/>
              <w:jc w:val="left"/>
            </w:pPr>
            <w:r>
              <w:t xml:space="preserve">Environmental geology impact assessment for the proposed underground parking structure. The Geologist evaluated potential contamination pathways, assessed slope stability of adjacent embankments, and provided mitigation recommendations to the Iran Tehran Environmental Protection Agency.</w:t>
            </w:r>
          </w:p>
        </w:tc>
        <w:tc>
          <w:tcPr/>
          <w:p>
            <w:pPr>
              <w:pStyle w:val="Compact"/>
              <w:jc w:val="left"/>
            </w:pPr>
            <w:r>
              <w:t xml:space="preserve">South Tehran, District 15</w:t>
            </w:r>
          </w:p>
        </w:tc>
        <w:tc>
          <w:tcPr/>
          <w:p>
            <w:pPr>
              <w:pStyle w:val="Compact"/>
              <w:jc w:val="left"/>
            </w:pPr>
            <w:r>
              <w:t xml:space="preserve">12 days</w:t>
            </w:r>
          </w:p>
        </w:tc>
        <w:tc>
          <w:tcPr/>
          <w:p>
            <w:pPr>
              <w:pStyle w:val="Compact"/>
              <w:jc w:val="left"/>
            </w:pPr>
            <w:r>
              <w:t xml:space="preserve">55,000,000</w:t>
            </w:r>
          </w:p>
        </w:tc>
        <w:tc>
          <w:tcPr/>
          <w:p>
            <w:pPr>
              <w:pStyle w:val="Compact"/>
              <w:jc w:val="left"/>
            </w:pPr>
            <w:r>
              <w:t xml:space="preserve">660,000,000</w:t>
            </w:r>
          </w:p>
        </w:tc>
      </w:tr>
      <w:tr>
        <w:tc>
          <w:tcPr/>
          <w:p>
            <w:pPr>
              <w:pStyle w:val="Compact"/>
              <w:jc w:val="left"/>
            </w:pPr>
            <w:r>
              <w:t xml:space="preserve">6</w:t>
            </w:r>
          </w:p>
        </w:tc>
        <w:tc>
          <w:tcPr/>
          <w:p>
            <w:pPr>
              <w:pStyle w:val="Compact"/>
              <w:jc w:val="left"/>
            </w:pPr>
            <w:r>
              <w:t xml:space="preserve">Final consolidated geological report, GIS-based spatial data delivery, and presentation to the Iran Tehran Metropolitan Planning Committee. The Geologist delivered 3D subsurface models, contour maps, and a 120-page technical report with executive summary.</w:t>
            </w:r>
          </w:p>
        </w:tc>
        <w:tc>
          <w:tcPr/>
          <w:p>
            <w:pPr>
              <w:pStyle w:val="Compact"/>
              <w:jc w:val="left"/>
            </w:pPr>
            <w:r>
              <w:t xml:space="preserve">Iran Tehran – Client Office</w:t>
            </w:r>
          </w:p>
        </w:tc>
        <w:tc>
          <w:tcPr/>
          <w:p>
            <w:pPr>
              <w:pStyle w:val="Compact"/>
              <w:jc w:val="left"/>
            </w:pPr>
            <w:r>
              <w:t xml:space="preserve">5 days</w:t>
            </w:r>
          </w:p>
        </w:tc>
        <w:tc>
          <w:tcPr/>
          <w:p>
            <w:pPr>
              <w:pStyle w:val="Compact"/>
              <w:jc w:val="left"/>
            </w:pPr>
            <w:r>
              <w:t xml:space="preserve">38,000,000</w:t>
            </w:r>
          </w:p>
        </w:tc>
        <w:tc>
          <w:tcPr/>
          <w:p>
            <w:pPr>
              <w:pStyle w:val="Compact"/>
              <w:jc w:val="left"/>
            </w:pPr>
            <w:r>
              <w:t xml:space="preserve">190,000,000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Subtotal</w:t>
            </w:r>
          </w:p>
        </w:tc>
        <w:tc>
          <w:tcPr/>
          <w:p>
            <w:pPr>
              <w:pStyle w:val="Compact"/>
              <w:jc w:val="right"/>
            </w:pPr>
            <w:r>
              <w:t xml:space="preserve">7,392,000,000 IRR</w:t>
            </w:r>
          </w:p>
        </w:tc>
      </w:tr>
      <w:tr>
        <w:tc>
          <w:tcPr/>
          <w:p>
            <w:pPr>
              <w:pStyle w:val="Compact"/>
              <w:jc w:val="left"/>
            </w:pPr>
            <w:r>
              <w:rPr>
                <w:bCs/>
                <w:b/>
              </w:rPr>
              <w:t xml:space="preserve">VAT (9%)</w:t>
            </w:r>
          </w:p>
        </w:tc>
        <w:tc>
          <w:tcPr/>
          <w:p>
            <w:pPr>
              <w:pStyle w:val="Compact"/>
              <w:jc w:val="right"/>
            </w:pPr>
            <w:r>
              <w:t xml:space="preserve">665,280,000 IRR</w:t>
            </w:r>
          </w:p>
        </w:tc>
      </w:tr>
      <w:tr>
        <w:tc>
          <w:tcPr/>
          <w:p>
            <w:pPr>
              <w:pStyle w:val="Compact"/>
              <w:jc w:val="left"/>
            </w:pPr>
            <w:r>
              <w:rPr>
                <w:bCs/>
                <w:b/>
              </w:rPr>
              <w:t xml:space="preserve">Field Equipment &amp; Consumables</w:t>
            </w:r>
          </w:p>
        </w:tc>
        <w:tc>
          <w:tcPr/>
          <w:p>
            <w:pPr>
              <w:pStyle w:val="Compact"/>
              <w:jc w:val="right"/>
            </w:pPr>
            <w:r>
              <w:t xml:space="preserve">148,000,000 IRR</w:t>
            </w:r>
          </w:p>
        </w:tc>
      </w:tr>
      <w:tr>
        <w:tc>
          <w:tcPr/>
          <w:p>
            <w:pPr>
              <w:pStyle w:val="Compact"/>
              <w:jc w:val="left"/>
            </w:pPr>
            <w:r>
              <w:rPr>
                <w:bCs/>
                <w:b/>
              </w:rPr>
              <w:t xml:space="preserve">TOTAL AMOUNT DUE</w:t>
            </w:r>
          </w:p>
        </w:tc>
        <w:tc>
          <w:tcPr/>
          <w:p>
            <w:pPr>
              <w:pStyle w:val="Compact"/>
              <w:jc w:val="right"/>
            </w:pPr>
            <w:r>
              <w:t xml:space="preserve">8,205,280,000 IRR</w:t>
            </w:r>
          </w:p>
        </w:tc>
      </w:tr>
    </w:tbl>
    <w:bookmarkStart w:id="24" w:name="payment-terms-conditions"/>
    <w:p>
      <w:pPr>
        <w:pStyle w:val="Heading3"/>
      </w:pPr>
      <w:r>
        <w:t xml:space="preserve">Payment Terms &amp; Conditions</w:t>
      </w:r>
    </w:p>
    <w:p>
      <w:pPr>
        <w:pStyle w:val="FirstParagraph"/>
      </w:pPr>
      <w:r>
        <w:t xml:space="preserve">This Invoice is payable within thirty (30) calendar days from the date of issue. Payment shall be made via bank transfer to Tehran GeoConsult Ltd., Bank Melli Iran, Branch: Valiasr, Account No: 010-44821-7721-33, SWIFT: MELLIRIT.</w:t>
      </w:r>
    </w:p>
    <w:p>
      <w:pPr>
        <w:pStyle w:val="BodyText"/>
      </w:pPr>
      <w:r>
        <w:t xml:space="preserve">A late payment penalty of 0.5% per calendar day shall apply to any outstanding balance beyond the due date, in accordance with Iranian commercial law. The Geologist reserves the right to suspend ongoing fieldwork if payment is not received within the stipulated period.</w:t>
      </w:r>
    </w:p>
    <w:p>
      <w:pPr>
        <w:pStyle w:val="BodyText"/>
      </w:pPr>
      <w:r>
        <w:t xml:space="preserve">All geological data, reports, and spatial deliverables referenced in this Invoice remain the intellectual property of the Geologist and Tehran GeoConsult Ltd. until full payment is confirmed in writing by the client.</w:t>
      </w:r>
    </w:p>
    <w:bookmarkEnd w:id="24"/>
    <w:bookmarkStart w:id="25" w:name="important-notes-regarding-this-invoice"/>
    <w:p>
      <w:pPr>
        <w:pStyle w:val="Heading3"/>
      </w:pPr>
      <w:r>
        <w:t xml:space="preserve">Important Notes Regarding This Invoice</w:t>
      </w:r>
    </w:p>
    <w:p>
      <w:pPr>
        <w:pStyle w:val="FirstParagraph"/>
      </w:pPr>
      <w:r>
        <w:t xml:space="preserve">1. All geological fieldwork described in this Invoice was conducted in full compliance with the Iranian Geological Survey and Mining Organization (IGSMO) regulations and the Iran Tehran municipal permitting authority requirements.</w:t>
      </w:r>
    </w:p>
    <w:p>
      <w:pPr>
        <w:pStyle w:val="BodyText"/>
      </w:pPr>
      <w:r>
        <w:t xml:space="preserve">2. The Geologist, Dr. Farhad Mohammadi, holds a valid professional license issued by the Iranian Geological Society and is registered with the Iran Tehran Chamber of Engineers. All findings and recommendations are subject to peer review by a second licensed Geologist before final acceptance.</w:t>
      </w:r>
    </w:p>
    <w:p>
      <w:pPr>
        <w:pStyle w:val="BodyText"/>
      </w:pPr>
      <w:r>
        <w:t xml:space="preserve">3. Any additional geological investigations, supplementary boreholes, or revised scope of work beyond what is itemized in this Invoice will be subject to a separate change-order Invoice and mutual written agreement.</w:t>
      </w:r>
    </w:p>
    <w:p>
      <w:pPr>
        <w:pStyle w:val="BodyText"/>
      </w:pPr>
      <w:r>
        <w:t xml:space="preserve">4. This Invoice is valid for 90 days from the date of issue. After this period, the client must request a revised Invoice reflecting current market rates for geological services in Iran Tehran.</w:t>
      </w:r>
    </w:p>
    <w:p>
      <w:pPr>
        <w:pStyle w:val="BodyText"/>
      </w:pPr>
      <w:r>
        <w:t xml:space="preserve">5. All laboratory analyses were performed at the accredited Tehran GeoConsult facility, Iran Tehran, in accordance with ISO/IEC 17025:2017 standards. Certificates of analysis are attached as Appendices A through F to the final report.</w:t>
      </w:r>
    </w:p>
    <w:bookmarkEnd w:id="25"/>
    <w:p>
      <w:pPr>
        <w:pStyle w:val="BodyText"/>
      </w:pPr>
      <w:r>
        <w:rPr>
          <w:bCs/>
          <w:b/>
        </w:rPr>
        <w:t xml:space="preserve">Prepared &amp; Signed by:</w:t>
      </w:r>
    </w:p>
    <w:p>
      <w:pPr>
        <w:pStyle w:val="BodyText"/>
      </w:pPr>
      <w:r>
        <w:t xml:space="preserve">Dr. Farhad Mohammadi, P.Geo</w:t>
      </w:r>
    </w:p>
    <w:p>
      <w:pPr>
        <w:pStyle w:val="BodyText"/>
      </w:pPr>
      <w:r>
        <w:t xml:space="preserve">Lead Geologist, Tehran GeoConsult Ltd.</w:t>
      </w:r>
    </w:p>
    <w:p>
      <w:pPr>
        <w:pStyle w:val="BodyText"/>
      </w:pPr>
      <w:r>
        <w:t xml:space="preserve">Date: 15 June 2025</w:t>
      </w:r>
    </w:p>
    <w:p>
      <w:pPr>
        <w:pStyle w:val="BodyText"/>
      </w:pPr>
      <w:r>
        <w:rPr>
          <w:bCs/>
          <w:b/>
        </w:rPr>
        <w:t xml:space="preserve">Received &amp; Approved by:</w:t>
      </w:r>
    </w:p>
    <w:p>
      <w:pPr>
        <w:pStyle w:val="BodyText"/>
      </w:pPr>
      <w:r>
        <w:t xml:space="preserve">Mr. Reza Karimi, Project Director</w:t>
      </w:r>
    </w:p>
    <w:p>
      <w:pPr>
        <w:pStyle w:val="BodyText"/>
      </w:pPr>
      <w:r>
        <w:t xml:space="preserve">Tehran Metropolitan Development Authority</w:t>
      </w:r>
    </w:p>
    <w:p>
      <w:pPr>
        <w:pStyle w:val="BodyText"/>
      </w:pPr>
      <w:r>
        <w:t xml:space="preserve">Date: _______________</w:t>
      </w:r>
    </w:p>
    <w:p>
      <w:pPr>
        <w:pStyle w:val="BodyText"/>
      </w:pPr>
      <w:r>
        <w:t xml:space="preserve">This Invoice was generated by Tehran GeoConsult Ltd., a licensed geological consulting firm operating in Iran Tehran. For inquiries regarding this Invoice or any geological services, please contact our office at +98-21-8876-5432 or info@tehrangeoconsult.ir. All disputes arising from this Invoice shall be resolved under the jurisdiction of the Iran Tehran Commercial Court.</w:t>
      </w:r>
    </w:p>
    <w:p>
      <w:pPr>
        <w:pStyle w:val="BodyText"/>
      </w:pPr>
      <w:r>
        <w:t xml:space="preserve">© 2025 Tehran GeoConsult Ltd. | Iran Tehran | All Rights Reserved | Invoice TGC-2025-00847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Geological Services Invoice - Iran Tehran</dc:title>
  <dc:creator/>
  <dc:language>en</dc:language>
  <cp:keywords/>
  <dcterms:created xsi:type="dcterms:W3CDTF">2026-10-10T03:41:25Z</dcterms:created>
  <dcterms:modified xsi:type="dcterms:W3CDTF">2026-10-10T03:41:25Z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