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Invoice</w:t>
      </w:r>
      <w:r>
        <w:t xml:space="preserve"> </w:t>
      </w:r>
      <w:r>
        <w:t xml:space="preserve">-</w:t>
      </w:r>
      <w:r>
        <w:t xml:space="preserve"> </w:t>
      </w:r>
      <w:r>
        <w:t xml:space="preserve">Myanmar</w:t>
      </w:r>
      <w:r>
        <w:t xml:space="preserve"> </w:t>
      </w:r>
      <w:r>
        <w:t xml:space="preserve">Yangon</w:t>
      </w:r>
    </w:p>
    <w:bookmarkStart w:id="20" w:name="golden-pagoda-geological-consultants"/>
    <w:p>
      <w:pPr>
        <w:pStyle w:val="Heading1"/>
      </w:pPr>
      <w:r>
        <w:t xml:space="preserve">Golden Pagoda Geological Consultants</w:t>
      </w:r>
    </w:p>
    <w:p>
      <w:pPr>
        <w:pStyle w:val="FirstParagraph"/>
      </w:pPr>
      <w:r>
        <w:t xml:space="preserve">Licensed Geologist &amp; Earth Sciences Firm</w:t>
      </w:r>
    </w:p>
    <w:p>
      <w:pPr>
        <w:pStyle w:val="BodyText"/>
      </w:pPr>
      <w:r>
        <w:t xml:space="preserve">25, 126th Street, Kamayut Township</w:t>
      </w:r>
    </w:p>
    <w:p>
      <w:pPr>
        <w:pStyle w:val="BodyText"/>
      </w:pPr>
      <w:r>
        <w:t xml:space="preserve">Yangon, Myanmar 11151</w:t>
      </w:r>
    </w:p>
    <w:p>
      <w:pPr>
        <w:pStyle w:val="BodyText"/>
      </w:pPr>
      <w:r>
        <w:t xml:space="preserve">Tel: +95-9-795-123-456 | Email: info@gpgc-myanmar.com</w:t>
      </w:r>
    </w:p>
    <w:p>
      <w:pPr>
        <w:pStyle w:val="BodyText"/>
      </w:pPr>
      <w:r>
        <w:t xml:space="preserve">Company Reg. No: 20190045678 | TIN: 3-00123456</w:t>
      </w:r>
    </w:p>
    <w:bookmarkEnd w:id="20"/>
    <w:bookmarkStart w:id="21" w:name="invoice"/>
    <w:p>
      <w:pPr>
        <w:pStyle w:val="Heading2"/>
      </w:pPr>
      <w:r>
        <w:t xml:space="preserve">INVOICE</w:t>
      </w:r>
    </w:p>
    <w:p>
      <w:pPr>
        <w:pStyle w:val="FirstParagraph"/>
      </w:pPr>
      <w:r>
        <w:t xml:space="preserve">Invoice No: GPGC-2025-00347</w:t>
      </w:r>
    </w:p>
    <w:p>
      <w:pPr>
        <w:pStyle w:val="BodyText"/>
      </w:pPr>
      <w:r>
        <w:t xml:space="preserve">Date Issued: 15 June 2025</w:t>
      </w:r>
    </w:p>
    <w:p>
      <w:pPr>
        <w:pStyle w:val="BodyText"/>
      </w:pPr>
      <w:r>
        <w:t xml:space="preserve">Due Date: 30 June 2025</w:t>
      </w:r>
    </w:p>
    <w:p>
      <w:pPr>
        <w:pStyle w:val="BodyText"/>
      </w:pPr>
      <w:r>
        <w:t xml:space="preserve">Professional Geologist Services</w:t>
      </w:r>
    </w:p>
    <w:bookmarkEnd w:id="21"/>
    <w:bookmarkStart w:id="22" w:name="billed-to-client"/>
    <w:p>
      <w:pPr>
        <w:pStyle w:val="Heading3"/>
      </w:pPr>
      <w:r>
        <w:t xml:space="preserve">Billed To (Client)</w:t>
      </w:r>
    </w:p>
    <w:p>
      <w:pPr>
        <w:pStyle w:val="FirstParagraph"/>
      </w:pPr>
      <w:r>
        <w:rPr>
          <w:bCs/>
          <w:b/>
        </w:rPr>
        <w:t xml:space="preserve">Myanmar Mineral Resources Development Co., Ltd.</w:t>
      </w:r>
    </w:p>
    <w:p>
      <w:pPr>
        <w:pStyle w:val="BodyText"/>
      </w:pPr>
      <w:r>
        <w:t xml:space="preserve">48, 27th Street, Hlaing Township</w:t>
      </w:r>
    </w:p>
    <w:p>
      <w:pPr>
        <w:pStyle w:val="BodyText"/>
      </w:pPr>
      <w:r>
        <w:t xml:space="preserve">Yangon, Myanmar 11151</w:t>
      </w:r>
    </w:p>
    <w:p>
      <w:pPr>
        <w:pStyle w:val="BodyText"/>
      </w:pPr>
      <w:r>
        <w:t xml:space="preserve">Attn: U Aung Kyaw Min (Project Director)</w:t>
      </w:r>
    </w:p>
    <w:p>
      <w:pPr>
        <w:pStyle w:val="BodyText"/>
      </w:pPr>
      <w:r>
        <w:t xml:space="preserve">TIN: 3-00987654</w:t>
      </w:r>
    </w:p>
    <w:bookmarkEnd w:id="22"/>
    <w:bookmarkStart w:id="23" w:name="project-reference"/>
    <w:p>
      <w:pPr>
        <w:pStyle w:val="Heading3"/>
      </w:pPr>
      <w:r>
        <w:t xml:space="preserve">Project Reference</w:t>
      </w:r>
    </w:p>
    <w:p>
      <w:pPr>
        <w:pStyle w:val="FirstParagraph"/>
      </w:pPr>
      <w:r>
        <w:rPr>
          <w:bCs/>
          <w:b/>
        </w:rPr>
        <w:t xml:space="preserve">Geological Survey – Ayeyarwady Basin</w:t>
      </w:r>
    </w:p>
    <w:p>
      <w:pPr>
        <w:pStyle w:val="BodyText"/>
      </w:pPr>
      <w:r>
        <w:t xml:space="preserve">Contract No: MMRD-2025-089</w:t>
      </w:r>
    </w:p>
    <w:p>
      <w:pPr>
        <w:pStyle w:val="BodyText"/>
      </w:pPr>
      <w:r>
        <w:t xml:space="preserve">Site Location: Ayeyarwady Region, Myanmar</w:t>
      </w:r>
    </w:p>
    <w:p>
      <w:pPr>
        <w:pStyle w:val="BodyText"/>
      </w:pPr>
      <w:r>
        <w:t xml:space="preserve">Duration: 1 April 2025 – 30 May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Quantity</w:t>
            </w:r>
          </w:p>
        </w:tc>
        <w:tc>
          <w:tcPr/>
          <w:p>
            <w:pPr>
              <w:pStyle w:val="Compact"/>
              <w:jc w:val="left"/>
            </w:pPr>
            <w:r>
              <w:t xml:space="preserve">Rate (MMK)</w:t>
            </w:r>
          </w:p>
        </w:tc>
        <w:tc>
          <w:tcPr/>
          <w:p>
            <w:pPr>
              <w:pStyle w:val="Compact"/>
              <w:jc w:val="left"/>
            </w:pPr>
            <w:r>
              <w:t xml:space="preserve">Amount (MMK)</w:t>
            </w:r>
          </w:p>
        </w:tc>
        <w:tc>
          <w:tcPr/>
          <w:p>
            <w:pPr>
              <w:pStyle w:val="Compact"/>
              <w:jc w:val="left"/>
            </w:pPr>
            <w:r>
              <w:t xml:space="preserve">Tax (5%)</w:t>
            </w:r>
          </w:p>
        </w:tc>
      </w:tr>
      <w:tr>
        <w:tc>
          <w:tcPr/>
          <w:p>
            <w:pPr>
              <w:pStyle w:val="Compact"/>
              <w:jc w:val="left"/>
            </w:pPr>
            <w:r>
              <w:t xml:space="preserve">1</w:t>
            </w:r>
          </w:p>
        </w:tc>
        <w:tc>
          <w:tcPr/>
          <w:p>
            <w:pPr>
              <w:pStyle w:val="Compact"/>
              <w:jc w:val="left"/>
            </w:pPr>
            <w:r>
              <w:rPr>
                <w:bCs/>
                <w:b/>
              </w:rPr>
              <w:t xml:space="preserve">Field Geological Mapping &amp; Survey</w:t>
            </w:r>
            <w:r>
              <w:t xml:space="preserve"> </w:t>
            </w:r>
            <w:r>
              <w:t xml:space="preserve">Comprehensive geological mapping of the Ayeyarwady Basin conducted by a licensed Geologist. Includes rock classification, structural analysis, stratigraphic column preparation, and GPS-based coordinate logging across 120 square kilometres of terrain in Myanmar Yangon's northern administrative district.</w:t>
            </w:r>
          </w:p>
        </w:tc>
        <w:tc>
          <w:tcPr/>
          <w:p>
            <w:pPr>
              <w:pStyle w:val="Compact"/>
              <w:jc w:val="left"/>
            </w:pPr>
            <w:r>
              <w:t xml:space="preserve">25 days</w:t>
            </w:r>
          </w:p>
        </w:tc>
        <w:tc>
          <w:tcPr/>
          <w:p>
            <w:pPr>
              <w:pStyle w:val="Compact"/>
              <w:jc w:val="left"/>
            </w:pPr>
            <w:r>
              <w:t xml:space="preserve">185,000</w:t>
            </w:r>
          </w:p>
        </w:tc>
        <w:tc>
          <w:tcPr/>
          <w:p>
            <w:pPr>
              <w:pStyle w:val="Compact"/>
              <w:jc w:val="left"/>
            </w:pPr>
            <w:r>
              <w:t xml:space="preserve">4,625,000</w:t>
            </w:r>
          </w:p>
        </w:tc>
        <w:tc>
          <w:tcPr/>
          <w:p>
            <w:pPr>
              <w:pStyle w:val="Compact"/>
              <w:jc w:val="left"/>
            </w:pPr>
            <w:r>
              <w:t xml:space="preserve">231,250</w:t>
            </w:r>
          </w:p>
        </w:tc>
      </w:tr>
      <w:tr>
        <w:tc>
          <w:tcPr/>
          <w:p>
            <w:pPr>
              <w:pStyle w:val="Compact"/>
              <w:jc w:val="left"/>
            </w:pPr>
            <w:r>
              <w:t xml:space="preserve">2</w:t>
            </w:r>
          </w:p>
        </w:tc>
        <w:tc>
          <w:tcPr/>
          <w:p>
            <w:pPr>
              <w:pStyle w:val="Compact"/>
              <w:jc w:val="left"/>
            </w:pPr>
            <w:r>
              <w:rPr>
                <w:bCs/>
                <w:b/>
              </w:rPr>
              <w:t xml:space="preserve">Geotechnical Site Investigation &amp; Borehole Analysis</w:t>
            </w:r>
            <w:r>
              <w:t xml:space="preserve"> </w:t>
            </w:r>
            <w:r>
              <w:t xml:space="preserve">Drilling and analysis of 14 boreholes at depths ranging from 15 to 60 metres. The Geologist performed in-situ testing including Standard Penetration Tests (SPT), vane shear tests, and soil sampling for laboratory classification. All data compiled into a geotechnical report compliant with Myanmar national building codes.</w:t>
            </w:r>
          </w:p>
        </w:tc>
        <w:tc>
          <w:tcPr/>
          <w:p>
            <w:pPr>
              <w:pStyle w:val="Compact"/>
              <w:jc w:val="left"/>
            </w:pPr>
            <w:r>
              <w:t xml:space="preserve">14 boreholes</w:t>
            </w:r>
          </w:p>
        </w:tc>
        <w:tc>
          <w:tcPr/>
          <w:p>
            <w:pPr>
              <w:pStyle w:val="Compact"/>
              <w:jc w:val="left"/>
            </w:pPr>
            <w:r>
              <w:t xml:space="preserve">1,250,000</w:t>
            </w:r>
          </w:p>
        </w:tc>
        <w:tc>
          <w:tcPr/>
          <w:p>
            <w:pPr>
              <w:pStyle w:val="Compact"/>
              <w:jc w:val="left"/>
            </w:pPr>
            <w:r>
              <w:t xml:space="preserve">17,500,000</w:t>
            </w:r>
          </w:p>
        </w:tc>
        <w:tc>
          <w:tcPr/>
          <w:p>
            <w:pPr>
              <w:pStyle w:val="Compact"/>
              <w:jc w:val="left"/>
            </w:pPr>
            <w:r>
              <w:t xml:space="preserve">875,000</w:t>
            </w:r>
          </w:p>
        </w:tc>
      </w:tr>
      <w:tr>
        <w:tc>
          <w:tcPr/>
          <w:p>
            <w:pPr>
              <w:pStyle w:val="Compact"/>
              <w:jc w:val="left"/>
            </w:pPr>
            <w:r>
              <w:t xml:space="preserve">3</w:t>
            </w:r>
          </w:p>
        </w:tc>
        <w:tc>
          <w:tcPr/>
          <w:p>
            <w:pPr>
              <w:pStyle w:val="Compact"/>
              <w:jc w:val="left"/>
            </w:pPr>
            <w:r>
              <w:rPr>
                <w:bCs/>
                <w:b/>
              </w:rPr>
              <w:t xml:space="preserve">Hydrogeological Assessment &amp; Water Quality Report</w:t>
            </w:r>
            <w:r>
              <w:t xml:space="preserve"> </w:t>
            </w:r>
            <w:r>
              <w:t xml:space="preserve">The Geologist conducted a full hydrogeological evaluation of the aquifer system beneath the project site. This included pump tests, water table monitoring over 30 days, and laboratory analysis of 22 water samples for pH, TDS, heavy metals, and microbial content. Final report submitted to the Myanmar Department of Mines and Geology.</w:t>
            </w:r>
          </w:p>
        </w:tc>
        <w:tc>
          <w:tcPr/>
          <w:p>
            <w:pPr>
              <w:pStyle w:val="Compact"/>
              <w:jc w:val="left"/>
            </w:pPr>
            <w:r>
              <w:t xml:space="preserve">1 project</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425,000</w:t>
            </w:r>
          </w:p>
        </w:tc>
      </w:tr>
      <w:tr>
        <w:tc>
          <w:tcPr/>
          <w:p>
            <w:pPr>
              <w:pStyle w:val="Compact"/>
              <w:jc w:val="left"/>
            </w:pPr>
            <w:r>
              <w:t xml:space="preserve">4</w:t>
            </w:r>
          </w:p>
        </w:tc>
        <w:tc>
          <w:tcPr/>
          <w:p>
            <w:pPr>
              <w:pStyle w:val="Compact"/>
              <w:jc w:val="left"/>
            </w:pPr>
            <w:r>
              <w:rPr>
                <w:bCs/>
                <w:b/>
              </w:rPr>
              <w:t xml:space="preserve">Environmental Impact Assessment – Geological Component</w:t>
            </w:r>
            <w:r>
              <w:t xml:space="preserve"> </w:t>
            </w:r>
            <w:r>
              <w:t xml:space="preserve">Preparation of the geological and geohazard section of the Environmental Impact Assessment (EIA) document. The Geologist identified landslide-prone zones, seismic vulnerability areas, and erosion risk corridors. Findings were presented to the Myanmar Environmental Conservation Department in Yangon.</w:t>
            </w:r>
          </w:p>
        </w:tc>
        <w:tc>
          <w:tcPr/>
          <w:p>
            <w:pPr>
              <w:pStyle w:val="Compact"/>
              <w:jc w:val="left"/>
            </w:pPr>
            <w:r>
              <w:t xml:space="preserve">1 report</w:t>
            </w:r>
          </w:p>
        </w:tc>
        <w:tc>
          <w:tcPr/>
          <w:p>
            <w:pPr>
              <w:pStyle w:val="Compact"/>
              <w:jc w:val="left"/>
            </w:pPr>
            <w:r>
              <w:t xml:space="preserve">6,200,000</w:t>
            </w:r>
          </w:p>
        </w:tc>
        <w:tc>
          <w:tcPr/>
          <w:p>
            <w:pPr>
              <w:pStyle w:val="Compact"/>
              <w:jc w:val="left"/>
            </w:pPr>
            <w:r>
              <w:t xml:space="preserve">6,200,000</w:t>
            </w:r>
          </w:p>
        </w:tc>
        <w:tc>
          <w:tcPr/>
          <w:p>
            <w:pPr>
              <w:pStyle w:val="Compact"/>
              <w:jc w:val="left"/>
            </w:pPr>
            <w:r>
              <w:t xml:space="preserve">310,000</w:t>
            </w:r>
          </w:p>
        </w:tc>
      </w:tr>
      <w:tr>
        <w:tc>
          <w:tcPr/>
          <w:p>
            <w:pPr>
              <w:pStyle w:val="Compact"/>
              <w:jc w:val="left"/>
            </w:pPr>
            <w:r>
              <w:t xml:space="preserve">5</w:t>
            </w:r>
          </w:p>
        </w:tc>
        <w:tc>
          <w:tcPr/>
          <w:p>
            <w:pPr>
              <w:pStyle w:val="Compact"/>
              <w:jc w:val="left"/>
            </w:pPr>
            <w:r>
              <w:rPr>
                <w:bCs/>
                <w:b/>
              </w:rPr>
              <w:t xml:space="preserve">Consultation &amp; Technical Advisory (On-Site)</w:t>
            </w:r>
            <w:r>
              <w:t xml:space="preserve"> </w:t>
            </w:r>
            <w:r>
              <w:t xml:space="preserve">On-site advisory sessions with the client's engineering team in Myanmar Yangon. The Geologist provided real-time recommendations on foundation design, excavation sequencing, and dewatering strategies. Includes 12 half-day consultation sessions and 4 full-day site walkthroughs.</w:t>
            </w:r>
          </w:p>
        </w:tc>
        <w:tc>
          <w:tcPr/>
          <w:p>
            <w:pPr>
              <w:pStyle w:val="Compact"/>
              <w:jc w:val="left"/>
            </w:pPr>
            <w:r>
              <w:t xml:space="preserve">16 sessions</w:t>
            </w:r>
          </w:p>
        </w:tc>
        <w:tc>
          <w:tcPr/>
          <w:p>
            <w:pPr>
              <w:pStyle w:val="Compact"/>
              <w:jc w:val="left"/>
            </w:pPr>
            <w:r>
              <w:t xml:space="preserve">450,000</w:t>
            </w:r>
          </w:p>
        </w:tc>
        <w:tc>
          <w:tcPr/>
          <w:p>
            <w:pPr>
              <w:pStyle w:val="Compact"/>
              <w:jc w:val="left"/>
            </w:pPr>
            <w:r>
              <w:t xml:space="preserve">7,200,000</w:t>
            </w:r>
          </w:p>
        </w:tc>
        <w:tc>
          <w:tcPr/>
          <w:p>
            <w:pPr>
              <w:pStyle w:val="Compact"/>
              <w:jc w:val="left"/>
            </w:pPr>
            <w:r>
              <w:t xml:space="preserve">360,000</w:t>
            </w:r>
          </w:p>
        </w:tc>
      </w:tr>
      <w:tr>
        <w:tc>
          <w:tcPr/>
          <w:p>
            <w:pPr>
              <w:pStyle w:val="Compact"/>
              <w:jc w:val="left"/>
            </w:pPr>
            <w:r>
              <w:t xml:space="preserve">6</w:t>
            </w:r>
          </w:p>
        </w:tc>
        <w:tc>
          <w:tcPr/>
          <w:p>
            <w:pPr>
              <w:pStyle w:val="Compact"/>
              <w:jc w:val="left"/>
            </w:pPr>
            <w:r>
              <w:rPr>
                <w:bCs/>
                <w:b/>
              </w:rPr>
              <w:t xml:space="preserve">Final Geological Report &amp; Data Deliverables</w:t>
            </w:r>
            <w:r>
              <w:t xml:space="preserve"> </w:t>
            </w:r>
            <w:r>
              <w:t xml:space="preserve">Compilation and delivery of the comprehensive final geological report in both English and Burmese. Includes 45 high-resolution geological maps, 120 core photographs, 3D subsurface models, raw data sets, and a 200-page narrative report. All deliverables provided in digital and hard-copy format to the client office in Myanmar Yangon.</w:t>
            </w:r>
          </w:p>
        </w:tc>
        <w:tc>
          <w:tcPr/>
          <w:p>
            <w:pPr>
              <w:pStyle w:val="Compact"/>
              <w:jc w:val="left"/>
            </w:pPr>
            <w:r>
              <w:t xml:space="preserve">1 package</w:t>
            </w:r>
          </w:p>
        </w:tc>
        <w:tc>
          <w:tcPr/>
          <w:p>
            <w:pPr>
              <w:pStyle w:val="Compact"/>
              <w:jc w:val="left"/>
            </w:pPr>
            <w:r>
              <w:t xml:space="preserve">4,800,000</w:t>
            </w:r>
          </w:p>
        </w:tc>
        <w:tc>
          <w:tcPr/>
          <w:p>
            <w:pPr>
              <w:pStyle w:val="Compact"/>
              <w:jc w:val="left"/>
            </w:pPr>
            <w:r>
              <w:t xml:space="preserve">4,800,000</w:t>
            </w:r>
          </w:p>
        </w:tc>
        <w:tc>
          <w:tcPr/>
          <w:p>
            <w:pPr>
              <w:pStyle w:val="Compact"/>
              <w:jc w:val="left"/>
            </w:pPr>
            <w:r>
              <w:t xml:space="preserve">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48,825,000 MMK</w:t>
            </w:r>
          </w:p>
        </w:tc>
      </w:tr>
      <w:tr>
        <w:tc>
          <w:tcPr/>
          <w:p>
            <w:pPr>
              <w:pStyle w:val="Compact"/>
              <w:jc w:val="left"/>
            </w:pPr>
            <w:r>
              <w:t xml:space="preserve">VAT (5% – Myanmar Standard Rate)</w:t>
            </w:r>
          </w:p>
        </w:tc>
        <w:tc>
          <w:tcPr/>
          <w:p>
            <w:pPr>
              <w:pStyle w:val="Compact"/>
              <w:jc w:val="right"/>
            </w:pPr>
            <w:r>
              <w:t xml:space="preserve">2,441,250 MMK</w:t>
            </w:r>
          </w:p>
        </w:tc>
      </w:tr>
      <w:tr>
        <w:tc>
          <w:tcPr/>
          <w:p>
            <w:pPr>
              <w:pStyle w:val="Compact"/>
              <w:jc w:val="left"/>
            </w:pPr>
            <w:r>
              <w:t xml:space="preserve">Service Tax (3% – Professional Services)</w:t>
            </w:r>
          </w:p>
        </w:tc>
        <w:tc>
          <w:tcPr/>
          <w:p>
            <w:pPr>
              <w:pStyle w:val="Compact"/>
              <w:jc w:val="right"/>
            </w:pPr>
            <w:r>
              <w:t xml:space="preserve">1,464,750 MMK</w:t>
            </w:r>
          </w:p>
        </w:tc>
      </w:tr>
      <w:tr>
        <w:tc>
          <w:tcPr/>
          <w:p>
            <w:pPr>
              <w:pStyle w:val="Compact"/>
              <w:jc w:val="left"/>
            </w:pPr>
            <w:r>
              <w:t xml:space="preserve">Travel &amp; Accommodation (Yangon – Ayeyarwady)</w:t>
            </w:r>
          </w:p>
        </w:tc>
        <w:tc>
          <w:tcPr/>
          <w:p>
            <w:pPr>
              <w:pStyle w:val="Compact"/>
              <w:jc w:val="right"/>
            </w:pPr>
            <w:r>
              <w:t xml:space="preserve">1,850,000 MMK</w:t>
            </w:r>
          </w:p>
        </w:tc>
      </w:tr>
      <w:tr>
        <w:tc>
          <w:tcPr/>
          <w:p>
            <w:pPr>
              <w:pStyle w:val="Compact"/>
              <w:jc w:val="left"/>
            </w:pPr>
            <w:r>
              <w:t xml:space="preserve">GRAND TOTAL DUE</w:t>
            </w:r>
          </w:p>
        </w:tc>
        <w:tc>
          <w:tcPr/>
          <w:p>
            <w:pPr>
              <w:pStyle w:val="Compact"/>
              <w:jc w:val="right"/>
            </w:pPr>
            <w:r>
              <w:t xml:space="preserve">54,581,000 MMK</w:t>
            </w:r>
          </w:p>
        </w:tc>
      </w:tr>
    </w:tbl>
    <w:bookmarkStart w:id="24" w:name="payment-terms-invoice-notes"/>
    <w:p>
      <w:pPr>
        <w:pStyle w:val="Heading3"/>
      </w:pPr>
      <w:r>
        <w:t xml:space="preserve">Payment Terms &amp; Invoice Notes</w:t>
      </w:r>
    </w:p>
    <w:p>
      <w:pPr>
        <w:pStyle w:val="FirstParagraph"/>
      </w:pPr>
      <w:r>
        <w:t xml:space="preserve">This Invoice is payable within fourteen (14) calendar days from the date of issue, no later than 30 June 2025. Payment shall be made in Myanmar Kyat (MMK) via bank transfer to the account below. Late payments will incur a penalty of 1.5% per month as stipulated in the service agreement.</w:t>
      </w:r>
    </w:p>
    <w:p>
      <w:pPr>
        <w:pStyle w:val="BodyText"/>
      </w:pPr>
      <w:r>
        <w:rPr>
          <w:bCs/>
          <w:b/>
        </w:rPr>
        <w:t xml:space="preserve">Bank Details:</w:t>
      </w:r>
      <w:r>
        <w:t xml:space="preserve"> </w:t>
      </w:r>
      <w:r>
        <w:t xml:space="preserve">AYA Bank, Kamayut Branch, Yangon, Myanmar | Account Name: Golden Pagoda Geological Consultants | Account No: 001-2345678901-001 | SWIFT: AYAMMMYY</w:t>
      </w:r>
    </w:p>
    <w:bookmarkEnd w:id="24"/>
    <w:bookmarkStart w:id="25" w:name="terms-conditions"/>
    <w:p>
      <w:pPr>
        <w:pStyle w:val="Heading3"/>
      </w:pPr>
      <w:r>
        <w:t xml:space="preserve">Terms &amp; Conditions</w:t>
      </w:r>
    </w:p>
    <w:p>
      <w:pPr>
        <w:numPr>
          <w:ilvl w:val="0"/>
          <w:numId w:val="1001"/>
        </w:numPr>
        <w:pStyle w:val="Compact"/>
      </w:pPr>
      <w:r>
        <w:t xml:space="preserve">All geological data and reports delivered under this Invoice remain the intellectual property of Golden Pagoda Geological Consultants until full payment is received.</w:t>
      </w:r>
    </w:p>
    <w:p>
      <w:pPr>
        <w:numPr>
          <w:ilvl w:val="0"/>
          <w:numId w:val="1001"/>
        </w:numPr>
        <w:pStyle w:val="Compact"/>
      </w:pPr>
      <w:r>
        <w:t xml:space="preserve">The Geologist's professional liability is limited to the total value of this Invoice as per Myanmar professional services legislation.</w:t>
      </w:r>
    </w:p>
    <w:p>
      <w:pPr>
        <w:numPr>
          <w:ilvl w:val="0"/>
          <w:numId w:val="1001"/>
        </w:numPr>
        <w:pStyle w:val="Compact"/>
      </w:pPr>
      <w:r>
        <w:t xml:space="preserve">Any disputes arising from this Invoice shall be resolved through arbitration in Yangon, Myanmar, in accordance with the Myanmar Arbitration Law.</w:t>
      </w:r>
    </w:p>
    <w:p>
      <w:pPr>
        <w:numPr>
          <w:ilvl w:val="0"/>
          <w:numId w:val="1001"/>
        </w:numPr>
        <w:pStyle w:val="Compact"/>
      </w:pPr>
      <w:r>
        <w:t xml:space="preserve">This Invoice is valid for 90 days from the date of issue. After this period, a revised Invoice must be requested in writing.</w:t>
      </w:r>
    </w:p>
    <w:p>
      <w:pPr>
        <w:numPr>
          <w:ilvl w:val="0"/>
          <w:numId w:val="1001"/>
        </w:numPr>
        <w:pStyle w:val="Compact"/>
      </w:pPr>
      <w:r>
        <w:t xml:space="preserve">All fieldwork was conducted in compliance with Myanmar's Environmental Conservation Law (2012) and the Mines Law (2016).</w:t>
      </w:r>
    </w:p>
    <w:p>
      <w:pPr>
        <w:numPr>
          <w:ilvl w:val="0"/>
          <w:numId w:val="1001"/>
        </w:numPr>
        <w:pStyle w:val="Compact"/>
      </w:pPr>
      <w:r>
        <w:t xml:space="preserve">The Geologist's professional license (No. GEO-2018-0042) is registered with the Myanmar Geological Society, Yangon Chapter.</w:t>
      </w:r>
    </w:p>
    <w:bookmarkEnd w:id="25"/>
    <w:bookmarkStart w:id="26" w:name="certification"/>
    <w:p>
      <w:pPr>
        <w:pStyle w:val="Heading3"/>
      </w:pPr>
      <w:r>
        <w:t xml:space="preserve">Certification</w:t>
      </w:r>
    </w:p>
    <w:p>
      <w:pPr>
        <w:pStyle w:val="FirstParagraph"/>
      </w:pPr>
      <w:r>
        <w:t xml:space="preserve">I,</w:t>
      </w:r>
      <w:r>
        <w:t xml:space="preserve"> </w:t>
      </w:r>
      <w:r>
        <w:rPr>
          <w:bCs/>
          <w:b/>
        </w:rPr>
        <w:t xml:space="preserve">Dr. U Thura Win</w:t>
      </w:r>
      <w:r>
        <w:t xml:space="preserve">, licensed Geologist (MSc. Geology, University of Yangon; PhD. Earth Sciences, University of Tokyo), hereby certify that all services described in this Invoice were performed to the highest professional standards and in full compliance with Myanmar national regulations. This Invoice represents the final and complete accounting for the project referenced above.</w:t>
      </w:r>
    </w:p>
    <w:p>
      <w:pPr>
        <w:pStyle w:val="BodyText"/>
      </w:pPr>
      <w:r>
        <w:t xml:space="preserve">Signature: ___________________________    Date: 15 June 2025</w:t>
      </w:r>
    </w:p>
    <w:bookmarkEnd w:id="26"/>
    <w:p>
      <w:pPr>
        <w:pStyle w:val="BodyText"/>
      </w:pPr>
      <w:r>
        <w:t xml:space="preserve">Golden Pagoda Geological Consultants | 25, 126th Street, Kamayut Township, Yangon, Myanmar 11151</w:t>
      </w:r>
    </w:p>
    <w:p>
      <w:pPr>
        <w:pStyle w:val="BodyText"/>
      </w:pPr>
      <w:r>
        <w:t xml:space="preserve">Licensed Geologist Services | Myanmar Geological Society Member | Company Reg. No: 20190045678</w:t>
      </w:r>
    </w:p>
    <w:p>
      <w:pPr>
        <w:pStyle w:val="BodyText"/>
      </w:pPr>
      <w:r>
        <w:t xml:space="preserve">This Invoice was generated electronically and is valid without a physical stamp. For queries, contact billing@gpgc-myanmar.com or call +95-9-795-123-456.</w:t>
      </w:r>
    </w:p>
    <w:p>
      <w:pPr>
        <w:pStyle w:val="BodyText"/>
      </w:pPr>
      <w:r>
        <w:t xml:space="preserve">© 2025 Golden Pagoda Geological Consultants, Myanmar Yangon.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Invoice - Myanmar Yangon</dc:title>
  <dc:creator/>
  <dc:language>en</dc:language>
  <cp:keywords/>
  <dcterms:created xsi:type="dcterms:W3CDTF">2026-10-10T02:23:13Z</dcterms:created>
  <dcterms:modified xsi:type="dcterms:W3CDTF">2026-10-10T02:23:13Z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