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ixelcraft-design-studio"/>
    <w:p>
      <w:pPr>
        <w:pStyle w:val="Heading1"/>
      </w:pPr>
      <w:r>
        <w:t xml:space="preserve">PixelCraft Design Studio</w:t>
      </w:r>
    </w:p>
    <w:p>
      <w:pPr>
        <w:pStyle w:val="FirstParagraph"/>
      </w:pPr>
      <w:r>
        <w:t xml:space="preserve">Graphic Designer &amp; Creative Solutions</w:t>
      </w:r>
    </w:p>
    <w:p>
      <w:pPr>
        <w:pStyle w:val="BodyText"/>
      </w:pPr>
      <w:r>
        <w:t xml:space="preserve">Calle 93 #15-42, Of. 301, Zona Rosa</w:t>
      </w:r>
    </w:p>
    <w:p>
      <w:pPr>
        <w:pStyle w:val="BodyText"/>
      </w:pPr>
      <w:r>
        <w:t xml:space="preserve">Bogotá D.C., Colombia</w:t>
      </w:r>
    </w:p>
    <w:p>
      <w:pPr>
        <w:pStyle w:val="BodyText"/>
      </w:pPr>
      <w:r>
        <w:t xml:space="preserve">NIT: 901.234.567-8</w:t>
      </w:r>
    </w:p>
    <w:p>
      <w:pPr>
        <w:pStyle w:val="BodyText"/>
      </w:pPr>
      <w:r>
        <w:t xml:space="preserve">Phone: +57 (601) 555 7890</w:t>
      </w:r>
    </w:p>
    <w:p>
      <w:pPr>
        <w:pStyle w:val="BodyText"/>
      </w:pPr>
      <w:r>
        <w:t xml:space="preserve">Email: billing@pixelcraft.co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bookmarkEnd w:id="21"/>
    <w:bookmarkStart w:id="22" w:name="bill-to-client"/>
    <w:p>
      <w:pPr>
        <w:pStyle w:val="Heading3"/>
      </w:pPr>
      <w:r>
        <w:t xml:space="preserve">Bill To (Client)</w:t>
      </w:r>
    </w:p>
    <w:p>
      <w:pPr>
        <w:pStyle w:val="FirstParagraph"/>
      </w:pPr>
      <w:r>
        <w:rPr>
          <w:bCs/>
          <w:b/>
        </w:rPr>
        <w:t xml:space="preserve">Andina Marketing Group S.A.S.</w:t>
      </w:r>
    </w:p>
    <w:p>
      <w:pPr>
        <w:pStyle w:val="BodyText"/>
      </w:pPr>
      <w:r>
        <w:t xml:space="preserve">Attn: Laura Martínez, Marketing Director</w:t>
      </w:r>
    </w:p>
    <w:p>
      <w:pPr>
        <w:pStyle w:val="BodyText"/>
      </w:pPr>
      <w:r>
        <w:t xml:space="preserve">Carrera 11 #85-20, Piso 5</w:t>
      </w:r>
    </w:p>
    <w:p>
      <w:pPr>
        <w:pStyle w:val="BodyText"/>
      </w:pPr>
      <w:r>
        <w:t xml:space="preserve">Bogotá D.C., Colombia</w:t>
      </w:r>
    </w:p>
    <w:p>
      <w:pPr>
        <w:pStyle w:val="BodyText"/>
      </w:pPr>
      <w:r>
        <w:t xml:space="preserve">NIT: 830.456.789-1</w:t>
      </w:r>
    </w:p>
    <w:p>
      <w:pPr>
        <w:pStyle w:val="BodyText"/>
      </w:pPr>
      <w:r>
        <w:t xml:space="preserve">Email: l.martinez@andinamarketing.co</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Graphic Designer: Carlos Ríos</w:t>
      </w:r>
    </w:p>
    <w:p>
      <w:pPr>
        <w:pStyle w:val="BodyText"/>
      </w:pPr>
      <w:r>
        <w:t xml:space="preserve">Calle 93 #15-42, Of. 301</w:t>
      </w:r>
    </w:p>
    <w:p>
      <w:pPr>
        <w:pStyle w:val="BodyText"/>
      </w:pPr>
      <w:r>
        <w:t xml:space="preserve">Bogotá D.C., Colombia</w:t>
      </w:r>
    </w:p>
    <w:p>
      <w:pPr>
        <w:pStyle w:val="BodyText"/>
      </w:pPr>
      <w:r>
        <w:t xml:space="preserve">NIT: 901.234.567-8</w:t>
      </w:r>
    </w:p>
    <w:p>
      <w:pPr>
        <w:pStyle w:val="BodyText"/>
      </w:pPr>
      <w:r>
        <w:t xml:space="preserve">DIAN Registration: Active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IVA (19%)</w:t>
            </w:r>
          </w:p>
        </w:tc>
      </w:tr>
      <w:tr>
        <w:tc>
          <w:tcPr/>
          <w:p>
            <w:pPr>
              <w:pStyle w:val="Compact"/>
              <w:jc w:val="left"/>
            </w:pPr>
            <w:r>
              <w:t xml:space="preserve">1</w:t>
            </w:r>
          </w:p>
        </w:tc>
        <w:tc>
          <w:tcPr/>
          <w:p>
            <w:pPr>
              <w:pStyle w:val="Compact"/>
              <w:jc w:val="left"/>
            </w:pPr>
            <w:r>
              <w:t xml:space="preserve">Brand Identity Redesign – Complete visual identity package including logo development, color palette, typography system, and brand guidelines document for Andina Marketing Group. Delivered as a comprehensive Graphic Designer portfolio piece.</w:t>
            </w:r>
          </w:p>
        </w:tc>
        <w:tc>
          <w:tcPr/>
          <w:p>
            <w:pPr>
              <w:pStyle w:val="Compact"/>
              <w:jc w:val="left"/>
            </w:pPr>
            <w:r>
              <w:t xml:space="preserve">1 project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$1,615,000</w:t>
            </w:r>
          </w:p>
        </w:tc>
      </w:tr>
      <w:tr>
        <w:tc>
          <w:tcPr/>
          <w:p>
            <w:pPr>
              <w:pStyle w:val="Compact"/>
              <w:jc w:val="left"/>
            </w:pPr>
            <w:r>
              <w:t xml:space="preserve">2</w:t>
            </w:r>
          </w:p>
        </w:tc>
        <w:tc>
          <w:tcPr/>
          <w:p>
            <w:pPr>
              <w:pStyle w:val="Compact"/>
              <w:jc w:val="left"/>
            </w:pPr>
            <w:r>
              <w:t xml:space="preserve">Corporate Stationery Design – Business cards, letterheads, envelopes, and presentation templates aligned with the new brand identity. All files delivered in print-ready and digital formats.</w:t>
            </w:r>
          </w:p>
        </w:tc>
        <w:tc>
          <w:tcPr/>
          <w:p>
            <w:pPr>
              <w:pStyle w:val="Compact"/>
              <w:jc w:val="left"/>
            </w:pPr>
            <w:r>
              <w:t xml:space="preserve">1 set</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$418,000</w:t>
            </w:r>
          </w:p>
        </w:tc>
      </w:tr>
      <w:tr>
        <w:tc>
          <w:tcPr/>
          <w:p>
            <w:pPr>
              <w:pStyle w:val="Compact"/>
              <w:jc w:val="left"/>
            </w:pPr>
            <w:r>
              <w:t xml:space="preserve">3</w:t>
            </w:r>
          </w:p>
        </w:tc>
        <w:tc>
          <w:tcPr/>
          <w:p>
            <w:pPr>
              <w:pStyle w:val="Compact"/>
              <w:jc w:val="left"/>
            </w:pPr>
            <w:r>
              <w:t xml:space="preserve">Social Media Campaign Graphics – Design of 24 unique social media posts (Instagram, LinkedIn, Facebook) for the Q1 2025 marketing campaign. Includes animated versions for Stories and Reels.</w:t>
            </w:r>
          </w:p>
        </w:tc>
        <w:tc>
          <w:tcPr/>
          <w:p>
            <w:pPr>
              <w:pStyle w:val="Compact"/>
              <w:jc w:val="left"/>
            </w:pPr>
            <w:r>
              <w:t xml:space="preserve">24 pieces</w:t>
            </w:r>
          </w:p>
        </w:tc>
        <w:tc>
          <w:tcPr/>
          <w:p>
            <w:pPr>
              <w:pStyle w:val="Compact"/>
              <w:jc w:val="left"/>
            </w:pPr>
            <w:r>
              <w:t xml:space="preserve">$180,000</w:t>
            </w:r>
          </w:p>
        </w:tc>
        <w:tc>
          <w:tcPr/>
          <w:p>
            <w:pPr>
              <w:pStyle w:val="Compact"/>
              <w:jc w:val="left"/>
            </w:pPr>
            <w:r>
              <w:t xml:space="preserve">$4,320,000</w:t>
            </w:r>
          </w:p>
        </w:tc>
        <w:tc>
          <w:tcPr/>
          <w:p>
            <w:pPr>
              <w:pStyle w:val="Compact"/>
              <w:jc w:val="left"/>
            </w:pPr>
            <w:r>
              <w:t xml:space="preserve">$820,800</w:t>
            </w:r>
          </w:p>
        </w:tc>
      </w:tr>
      <w:tr>
        <w:tc>
          <w:tcPr/>
          <w:p>
            <w:pPr>
              <w:pStyle w:val="Compact"/>
              <w:jc w:val="left"/>
            </w:pPr>
            <w:r>
              <w:t xml:space="preserve">4</w:t>
            </w:r>
          </w:p>
        </w:tc>
        <w:tc>
          <w:tcPr/>
          <w:p>
            <w:pPr>
              <w:pStyle w:val="Compact"/>
              <w:jc w:val="left"/>
            </w:pPr>
            <w:r>
              <w:t xml:space="preserve">Product Packaging Design – Visual design for 3 product lines including dielines, 3D mockups, and print specifications. Graphic Designer consultation with packaging vendor included.</w:t>
            </w:r>
          </w:p>
        </w:tc>
        <w:tc>
          <w:tcPr/>
          <w:p>
            <w:pPr>
              <w:pStyle w:val="Compact"/>
              <w:jc w:val="left"/>
            </w:pPr>
            <w:r>
              <w:t xml:space="preserve">3 designs</w:t>
            </w:r>
          </w:p>
        </w:tc>
        <w:tc>
          <w:tcPr/>
          <w:p>
            <w:pPr>
              <w:pStyle w:val="Compact"/>
              <w:jc w:val="left"/>
            </w:pPr>
            <w:r>
              <w:t xml:space="preserve">$3,800,000</w:t>
            </w:r>
          </w:p>
        </w:tc>
        <w:tc>
          <w:tcPr/>
          <w:p>
            <w:pPr>
              <w:pStyle w:val="Compact"/>
              <w:jc w:val="left"/>
            </w:pPr>
            <w:r>
              <w:t xml:space="preserve">$11,400,000</w:t>
            </w:r>
          </w:p>
        </w:tc>
        <w:tc>
          <w:tcPr/>
          <w:p>
            <w:pPr>
              <w:pStyle w:val="Compact"/>
              <w:jc w:val="left"/>
            </w:pPr>
            <w:r>
              <w:t xml:space="preserve">$2,166,000</w:t>
            </w:r>
          </w:p>
        </w:tc>
      </w:tr>
      <w:tr>
        <w:tc>
          <w:tcPr/>
          <w:p>
            <w:pPr>
              <w:pStyle w:val="Compact"/>
              <w:jc w:val="left"/>
            </w:pPr>
            <w:r>
              <w:t xml:space="preserve">5</w:t>
            </w:r>
          </w:p>
        </w:tc>
        <w:tc>
          <w:tcPr/>
          <w:p>
            <w:pPr>
              <w:pStyle w:val="Compact"/>
              <w:jc w:val="left"/>
            </w:pPr>
            <w:r>
              <w:t xml:space="preserve">Annual Report Layout &amp; Illustration – Full layout design, custom illustration set (12 illustrations), and infographics for the 2024 Annual Report. 48-page document, print and digital versions.</w:t>
            </w:r>
          </w:p>
        </w:tc>
        <w:tc>
          <w:tcPr/>
          <w:p>
            <w:pPr>
              <w:pStyle w:val="Compact"/>
              <w:jc w:val="left"/>
            </w:pPr>
            <w:r>
              <w:t xml:space="preserve">1 document</w:t>
            </w:r>
          </w:p>
        </w:tc>
        <w:tc>
          <w:tcPr/>
          <w:p>
            <w:pPr>
              <w:pStyle w:val="Compact"/>
              <w:jc w:val="left"/>
            </w:pPr>
            <w:r>
              <w:t xml:space="preserve">$6,700,000</w:t>
            </w:r>
          </w:p>
        </w:tc>
        <w:tc>
          <w:tcPr/>
          <w:p>
            <w:pPr>
              <w:pStyle w:val="Compact"/>
              <w:jc w:val="left"/>
            </w:pPr>
            <w:r>
              <w:t xml:space="preserve">$6,700,000</w:t>
            </w:r>
          </w:p>
        </w:tc>
        <w:tc>
          <w:tcPr/>
          <w:p>
            <w:pPr>
              <w:pStyle w:val="Compact"/>
              <w:jc w:val="left"/>
            </w:pPr>
            <w:r>
              <w:t xml:space="preserve">$1,273,000</w:t>
            </w:r>
          </w:p>
        </w:tc>
      </w:tr>
      <w:tr>
        <w:tc>
          <w:tcPr/>
          <w:p>
            <w:pPr>
              <w:pStyle w:val="Compact"/>
              <w:jc w:val="left"/>
            </w:pPr>
            <w:r>
              <w:t xml:space="preserve">6</w:t>
            </w:r>
          </w:p>
        </w:tc>
        <w:tc>
          <w:tcPr/>
          <w:p>
            <w:pPr>
              <w:pStyle w:val="Compact"/>
              <w:jc w:val="left"/>
            </w:pPr>
            <w:r>
              <w:t xml:space="preserve">Trade Show Booth Graphics – Large-format design for 6x3 meter booth backdrop, banner stands, and promotional materials for Expo Bogotá 2025. Includes file preparation for large-format printing.</w:t>
            </w:r>
          </w:p>
        </w:tc>
        <w:tc>
          <w:tcPr/>
          <w:p>
            <w:pPr>
              <w:pStyle w:val="Compact"/>
              <w:jc w:val="left"/>
            </w:pPr>
            <w:r>
              <w:t xml:space="preserve">1 package</w:t>
            </w:r>
          </w:p>
        </w:tc>
        <w:tc>
          <w:tcPr/>
          <w:p>
            <w:pPr>
              <w:pStyle w:val="Compact"/>
              <w:jc w:val="left"/>
            </w:pPr>
            <w:r>
              <w:t xml:space="preserve">$4,100,000</w:t>
            </w:r>
          </w:p>
        </w:tc>
        <w:tc>
          <w:tcPr/>
          <w:p>
            <w:pPr>
              <w:pStyle w:val="Compact"/>
              <w:jc w:val="left"/>
            </w:pPr>
            <w:r>
              <w:t xml:space="preserve">$4,100,000</w:t>
            </w:r>
          </w:p>
        </w:tc>
        <w:tc>
          <w:tcPr/>
          <w:p>
            <w:pPr>
              <w:pStyle w:val="Compact"/>
              <w:jc w:val="left"/>
            </w:pPr>
            <w:r>
              <w:t xml:space="preserve">$779,000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$37,220,000</w:t>
            </w:r>
          </w:p>
        </w:tc>
      </w:tr>
      <w:tr>
        <w:tc>
          <w:tcPr/>
          <w:p>
            <w:pPr>
              <w:pStyle w:val="Compact"/>
              <w:jc w:val="left"/>
            </w:pPr>
            <w:r>
              <w:t xml:space="preserve">IVA 19% (COP)</w:t>
            </w:r>
          </w:p>
        </w:tc>
        <w:tc>
          <w:tcPr/>
          <w:p>
            <w:pPr>
              <w:pStyle w:val="Compact"/>
              <w:jc w:val="right"/>
            </w:pPr>
            <w:r>
              <w:t xml:space="preserve">$7,071,800</w:t>
            </w:r>
          </w:p>
        </w:tc>
      </w:tr>
      <w:tr>
        <w:tc>
          <w:tcPr/>
          <w:p>
            <w:pPr>
              <w:pStyle w:val="Compact"/>
              <w:jc w:val="left"/>
            </w:pPr>
            <w:r>
              <w:t xml:space="preserve">TOTAL DUE (COP)</w:t>
            </w:r>
          </w:p>
        </w:tc>
        <w:tc>
          <w:tcPr/>
          <w:p>
            <w:pPr>
              <w:pStyle w:val="Compact"/>
              <w:jc w:val="right"/>
            </w:pPr>
            <w:r>
              <w:t xml:space="preserve">$44,291,800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Bancolombia</w:t>
      </w:r>
    </w:p>
    <w:p>
      <w:pPr>
        <w:pStyle w:val="BodyText"/>
      </w:pPr>
      <w:r>
        <w:rPr>
          <w:bCs/>
          <w:b/>
        </w:rPr>
        <w:t xml:space="preserve">Account Type:</w:t>
      </w:r>
      <w:r>
        <w:t xml:space="preserve"> </w:t>
      </w:r>
      <w:r>
        <w:t xml:space="preserve">Cuenta de Ahorros</w:t>
      </w:r>
    </w:p>
    <w:p>
      <w:pPr>
        <w:pStyle w:val="BodyText"/>
      </w:pPr>
      <w:r>
        <w:rPr>
          <w:bCs/>
          <w:b/>
        </w:rPr>
        <w:t xml:space="preserve">Account Number:</w:t>
      </w:r>
      <w:r>
        <w:t xml:space="preserve"> </w:t>
      </w:r>
      <w:r>
        <w:t xml:space="preserve">452-1234-56-78</w:t>
      </w:r>
    </w:p>
    <w:p>
      <w:pPr>
        <w:pStyle w:val="BodyText"/>
      </w:pPr>
      <w:r>
        <w:rPr>
          <w:bCs/>
          <w:b/>
        </w:rPr>
        <w:t xml:space="preserve">Account Holder:</w:t>
      </w:r>
      <w:r>
        <w:t xml:space="preserve"> </w:t>
      </w:r>
      <w:r>
        <w:t xml:space="preserve">PixelCraft Design Studio S.A.S.</w:t>
      </w:r>
    </w:p>
    <w:p>
      <w:pPr>
        <w:pStyle w:val="BodyText"/>
      </w:pPr>
      <w:r>
        <w:rPr>
          <w:bCs/>
          <w:b/>
        </w:rPr>
        <w:t xml:space="preserve">NIT:</w:t>
      </w:r>
      <w:r>
        <w:t xml:space="preserve"> </w:t>
      </w:r>
      <w:r>
        <w:t xml:space="preserve">901.234.567-8</w:t>
      </w:r>
    </w:p>
    <w:p>
      <w:pPr>
        <w:pStyle w:val="BodyText"/>
      </w:pPr>
      <w:r>
        <w:rPr>
          <w:bCs/>
          <w:b/>
        </w:rPr>
        <w:t xml:space="preserve">SWIFT Code:</w:t>
      </w:r>
      <w:r>
        <w:t xml:space="preserve"> </w:t>
      </w:r>
      <w:r>
        <w:t xml:space="preserve">BANC CO BO</w:t>
      </w:r>
    </w:p>
    <w:p>
      <w:pPr>
        <w:pStyle w:val="BodyText"/>
      </w:pPr>
      <w:r>
        <w:rPr>
          <w:bCs/>
          <w:b/>
        </w:rPr>
        <w:t xml:space="preserve">Reference:</w:t>
      </w:r>
      <w:r>
        <w:t xml:space="preserve"> </w:t>
      </w:r>
      <w:r>
        <w:t xml:space="preserve">Invoice PC-2025-0047</w:t>
      </w:r>
    </w:p>
    <w:p>
      <w:pPr>
        <w:pStyle w:val="BodyText"/>
      </w:pPr>
      <w:r>
        <w:t xml:space="preserve">Please ensure the full amount of</w:t>
      </w:r>
      <w:r>
        <w:t xml:space="preserve"> </w:t>
      </w:r>
      <w:r>
        <w:rPr>
          <w:bCs/>
          <w:b/>
        </w:rPr>
        <w:t xml:space="preserve">COP $44,291,800</w:t>
      </w:r>
      <w:r>
        <w:t xml:space="preserve"> </w:t>
      </w:r>
      <w:r>
        <w:t xml:space="preserve">is transferred by the due date of February 14, 2025. Late payments are subject to a monthly interest rate of 1.5% as per Colombian commercial law (Ley 1475 de 2011).</w:t>
      </w:r>
    </w:p>
    <w:bookmarkEnd w:id="24"/>
    <w:bookmarkStart w:id="25" w:name="important-notes-terms"/>
    <w:p>
      <w:pPr>
        <w:pStyle w:val="Heading3"/>
      </w:pPr>
      <w:r>
        <w:t xml:space="preserve">Important Notes &amp; Terms</w:t>
      </w:r>
    </w:p>
    <w:p>
      <w:pPr>
        <w:pStyle w:val="FirstParagraph"/>
      </w:pPr>
      <w:r>
        <w:t xml:space="preserve">1. This Invoice is issued in accordance with the Colombian tax regulations established by the DIAN (Dirección de Impuestos y Aduanas Nacionales). The IVA rate of 19% applies as per current legislation in Colombia.</w:t>
      </w:r>
    </w:p>
    <w:p>
      <w:pPr>
        <w:pStyle w:val="BodyText"/>
      </w:pPr>
      <w:r>
        <w:t xml:space="preserve">2. All Graphic Designer services described in this Invoice have been completed and delivered to the client's satisfaction as of January 10, 2025. Final files were transferred via secure cloud link.</w:t>
      </w:r>
    </w:p>
    <w:p>
      <w:pPr>
        <w:pStyle w:val="BodyText"/>
      </w:pPr>
      <w:r>
        <w:t xml:space="preserve">3. This Invoice is valid for 30 calendar days from the issue date. After this period, the amount may be subject to adjustment based on applicable Colombian tax law changes.</w:t>
      </w:r>
    </w:p>
    <w:p>
      <w:pPr>
        <w:pStyle w:val="BodyText"/>
      </w:pPr>
      <w:r>
        <w:t xml:space="preserve">4. All intellectual property rights for the final Graphic Designer deliverables transfer to the client upon full payment of this Invoice. Source files (AI, PSD, INDD) are included in the final delivery package.</w:t>
      </w:r>
    </w:p>
    <w:p>
      <w:pPr>
        <w:pStyle w:val="BodyText"/>
      </w:pPr>
      <w:r>
        <w:t xml:space="preserve">5. Any revisions beyond the scope defined in the original service agreement will be billed separately at a rate of COP $250,000 per hour for the Graphic Designer's professional time.</w:t>
      </w:r>
    </w:p>
    <w:p>
      <w:pPr>
        <w:pStyle w:val="BodyText"/>
      </w:pPr>
      <w:r>
        <w:t xml:space="preserve">6. This Invoice was generated and issued in Bogotá D.C., Colombia. All disputes arising from this Invoice shall be governed by the commercial laws of the Republic of Colombia, with jurisdiction in the courts of Bogotá D.C.</w:t>
      </w:r>
    </w:p>
    <w:p>
      <w:pPr>
        <w:pStyle w:val="BodyText"/>
      </w:pPr>
      <w:r>
        <w:t xml:space="preserve">7. PixelCraft Design Studio is registered as a legal entity in Colombia and is in good standing with the Cámara de Comercio de Bogotá. This Invoice constitutes a valid fiscal document for tax deduction purposes under Colombian law.</w:t>
      </w:r>
    </w:p>
    <w:bookmarkEnd w:id="25"/>
    <w:p>
      <w:pPr>
        <w:pStyle w:val="BodyText"/>
      </w:pPr>
      <w:r>
        <w:rPr>
          <w:bCs/>
          <w:b/>
        </w:rPr>
        <w:t xml:space="preserve">Carlos Ríos</w:t>
      </w:r>
      <w:r>
        <w:br/>
      </w:r>
      <w:r>
        <w:t xml:space="preserve">Lead Graphic Designer &amp; Authorized Signatory</w:t>
      </w:r>
      <w:r>
        <w:br/>
      </w:r>
      <w:r>
        <w:t xml:space="preserve">PixelCraft Design Studio S.A.S.</w:t>
      </w:r>
    </w:p>
    <w:p>
      <w:pPr>
        <w:pStyle w:val="BodyText"/>
      </w:pPr>
      <w:r>
        <w:rPr>
          <w:bCs/>
          <w:b/>
        </w:rPr>
        <w:t xml:space="preserve">Received &amp; Approved By:</w:t>
      </w:r>
      <w:r>
        <w:br/>
      </w:r>
      <w:r>
        <w:t xml:space="preserve">Laura Martínez</w:t>
      </w:r>
      <w:r>
        <w:br/>
      </w:r>
      <w:r>
        <w:t xml:space="preserve">Marketing Director, Andina Marketing Group S.A.S.</w:t>
      </w:r>
    </w:p>
    <w:p>
      <w:pPr>
        <w:pStyle w:val="BodyText"/>
      </w:pPr>
      <w:r>
        <w:rPr>
          <w:bCs/>
          <w:b/>
        </w:rPr>
        <w:t xml:space="preserve">PixelCraft Design Studio S.A.S.</w:t>
      </w:r>
      <w:r>
        <w:t xml:space="preserve"> </w:t>
      </w:r>
      <w:r>
        <w:t xml:space="preserve">| NIT: 901.234.567-8 | Bogotá D.C., Colombia</w:t>
      </w:r>
    </w:p>
    <w:p>
      <w:pPr>
        <w:pStyle w:val="BodyText"/>
      </w:pPr>
      <w:r>
        <w:t xml:space="preserve">Calle 93 #15-42, Of. 301, Zona Rosa | Phone: +57 (601) 555 7890 | billing@pixelcraft.co</w:t>
      </w:r>
    </w:p>
    <w:p>
      <w:pPr>
        <w:pStyle w:val="BodyText"/>
      </w:pPr>
      <w:r>
        <w:t xml:space="preserve">This Invoice was electronically generated and is valid without a physical stamp per Resolución DIAN 000110 de 2016.</w:t>
      </w:r>
    </w:p>
    <w:p>
      <w:pPr>
        <w:pStyle w:val="BodyText"/>
      </w:pPr>
      <w:r>
        <w:t xml:space="preserve">Thank you for choosing our Graphic Designer services in Colombia Bogotá. We appreciate your business and look forward to continuing our creative partnership.</w:t>
      </w:r>
    </w:p>
    <w:p>
      <w:pPr>
        <w:pStyle w:val="BodyText"/>
      </w:pPr>
      <w:r>
        <w:t xml:space="preserve">Invoice PC-2025-0047 | Generated: 2025-01-15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Colombia Bogotá</dc:title>
  <dc:creator/>
  <dc:language>en</dc:language>
  <cp:keywords/>
  <dcterms:created xsi:type="dcterms:W3CDTF">2026-10-10T12:43:42Z</dcterms:created>
  <dcterms:modified xsi:type="dcterms:W3CDTF">2026-10-10T12:43:42Z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