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ixelcraft-studio"/>
    <w:p>
      <w:pPr>
        <w:pStyle w:val="Heading1"/>
      </w:pPr>
      <w:r>
        <w:t xml:space="preserve">PixelCraft Studio</w:t>
      </w:r>
    </w:p>
    <w:p>
      <w:pPr>
        <w:pStyle w:val="FirstParagraph"/>
      </w:pPr>
      <w:r>
        <w:t xml:space="preserve">Graphic Designer &amp; Visual Communication Agency</w:t>
      </w:r>
    </w:p>
    <w:p>
      <w:pPr>
        <w:pStyle w:val="BodyText"/>
      </w:pPr>
      <w:r>
        <w:t xml:space="preserve">Mitte, Germany Berlin</w:t>
      </w:r>
    </w:p>
    <w:p>
      <w:pPr>
        <w:pStyle w:val="BodyText"/>
      </w:pPr>
      <w:r>
        <w:t xml:space="preserve">Oranienstraße 142, 10999 Berlin, Germany</w:t>
      </w:r>
    </w:p>
    <w:p>
      <w:pPr>
        <w:pStyle w:val="BodyText"/>
      </w:pPr>
      <w:r>
        <w:t xml:space="preserve">USt-IdNr.: DE315487921</w:t>
      </w:r>
    </w:p>
    <w:p>
      <w:pPr>
        <w:pStyle w:val="BodyText"/>
      </w:pPr>
      <w:r>
        <w:t xml:space="preserve">HRB 184523 B, Amtsgericht Charlottenburg</w:t>
      </w:r>
    </w:p>
    <w:p>
      <w:pPr>
        <w:pStyle w:val="BodyText"/>
      </w:pPr>
      <w:r>
        <w:t xml:space="preserve">info@pixelcraft-berlin.de | +49 30 5557 8821</w:t>
      </w:r>
    </w:p>
    <w:bookmarkEnd w:id="20"/>
    <w:bookmarkStart w:id="21" w:name="invoice"/>
    <w:p>
      <w:pPr>
        <w:pStyle w:val="Heading2"/>
      </w:pPr>
      <w:r>
        <w:t xml:space="preserve">INVOICE</w:t>
      </w:r>
    </w:p>
    <w:p>
      <w:pPr>
        <w:pStyle w:val="FirstParagraph"/>
      </w:pPr>
      <w:r>
        <w:t xml:space="preserve">Rechnung / Invoice</w:t>
      </w:r>
    </w:p>
    <w:p>
      <w:pPr>
        <w:pStyle w:val="BodyText"/>
      </w:pPr>
      <w:r>
        <w:t xml:space="preserve">Invoice No.: PC-2025-0347</w:t>
      </w:r>
    </w:p>
    <w:p>
      <w:pPr>
        <w:pStyle w:val="BodyText"/>
      </w:pPr>
      <w:r>
        <w:t xml:space="preserve">Issue Date: 15 June 2025</w:t>
      </w:r>
    </w:p>
    <w:p>
      <w:pPr>
        <w:pStyle w:val="BodyText"/>
      </w:pPr>
      <w:r>
        <w:t xml:space="preserve">Due Date: 30 June 2025</w:t>
      </w:r>
    </w:p>
    <w:bookmarkEnd w:id="21"/>
    <w:bookmarkStart w:id="22" w:name="billed-to-rechnungsempfänger"/>
    <w:p>
      <w:pPr>
        <w:pStyle w:val="Heading3"/>
      </w:pPr>
      <w:r>
        <w:t xml:space="preserve">Billed To (Rechnungsempfänger)</w:t>
      </w:r>
    </w:p>
    <w:p>
      <w:pPr>
        <w:pStyle w:val="FirstParagraph"/>
      </w:pPr>
      <w:r>
        <w:rPr>
          <w:bCs/>
          <w:b/>
        </w:rPr>
        <w:t xml:space="preserve">Brandhaus GmbH</w:t>
      </w:r>
    </w:p>
    <w:p>
      <w:pPr>
        <w:pStyle w:val="BodyText"/>
      </w:pPr>
      <w:r>
        <w:t xml:space="preserve">Attn: Dr. Katharina Müller, Managing Director</w:t>
      </w:r>
    </w:p>
    <w:p>
      <w:pPr>
        <w:pStyle w:val="BodyText"/>
      </w:pPr>
      <w:r>
        <w:t xml:space="preserve">Unter den Linden 88</w:t>
      </w:r>
    </w:p>
    <w:p>
      <w:pPr>
        <w:pStyle w:val="BodyText"/>
      </w:pPr>
      <w:r>
        <w:t xml:space="preserve">10117 Berlin, Germany</w:t>
      </w:r>
    </w:p>
    <w:p>
      <w:pPr>
        <w:pStyle w:val="BodyText"/>
      </w:pPr>
      <w:r>
        <w:t xml:space="preserve">VAT ID: DE298765432</w:t>
      </w:r>
    </w:p>
    <w:p>
      <w:pPr>
        <w:pStyle w:val="BodyText"/>
      </w:pPr>
      <w:r>
        <w:t xml:space="preserve">Phone: +49 30 4412 9900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Corporate Rebrand &amp; Digital Asset Suite</w:t>
      </w:r>
    </w:p>
    <w:p>
      <w:pPr>
        <w:pStyle w:val="BodyText"/>
      </w:pPr>
      <w:r>
        <w:rPr>
          <w:bCs/>
          <w:b/>
        </w:rPr>
        <w:t xml:space="preserve">Contract Ref:</w:t>
      </w:r>
      <w:r>
        <w:t xml:space="preserve"> </w:t>
      </w:r>
      <w:r>
        <w:t xml:space="preserve">BHS-2025-0091</w:t>
      </w:r>
    </w:p>
    <w:p>
      <w:pPr>
        <w:pStyle w:val="BodyText"/>
      </w:pPr>
      <w:r>
        <w:rPr>
          <w:bCs/>
          <w:b/>
        </w:rPr>
        <w:t xml:space="preserve">Service Period:</w:t>
      </w:r>
      <w:r>
        <w:t xml:space="preserve"> </w:t>
      </w:r>
      <w:r>
        <w:t xml:space="preserve">01 April 2025 – 30 May 2025</w:t>
      </w:r>
    </w:p>
    <w:p>
      <w:pPr>
        <w:pStyle w:val="BodyText"/>
      </w:pPr>
      <w:r>
        <w:rPr>
          <w:bCs/>
          <w:b/>
        </w:rPr>
        <w:t xml:space="preserve">Location of Work:</w:t>
      </w:r>
      <w:r>
        <w:t xml:space="preserve"> </w:t>
      </w:r>
      <w:r>
        <w:t xml:space="preserve">Germany Berlin</w:t>
      </w:r>
    </w:p>
    <w:p>
      <w:pPr>
        <w:pStyle w:val="BodyText"/>
      </w:pPr>
      <w:r>
        <w:rPr>
          <w:bCs/>
          <w:b/>
        </w:rPr>
        <w:t xml:space="preserve">Payment Terms:</w:t>
      </w:r>
      <w:r>
        <w:t xml:space="preserve"> </w:t>
      </w:r>
      <w:r>
        <w:t xml:space="preserve">Net 14 days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Brand Identity Redesign</w:t>
            </w:r>
            <w:r>
              <w:t xml:space="preserve"> </w:t>
            </w:r>
            <w:r>
              <w:t xml:space="preserve">– Complete visual identity overhaul including logo development, typography system, colour palette, and brand guidelines document. Delivered as a comprehensive 48-page brand book. All design work performed by the lead Graphic Designer at our studio in Germany Berlin.</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Digital Marketing Asset Suite</w:t>
            </w:r>
            <w:r>
              <w:t xml:space="preserve"> </w:t>
            </w:r>
            <w:r>
              <w:t xml:space="preserve">– Design of 24 social media templates, 12 email newsletter layouts, and 8 banner advertisements for web and mobile. All assets optimised for multi-platform deployment. Created by the Graphic Designer team over a four-week production cycle.</w:t>
            </w:r>
          </w:p>
        </w:tc>
        <w:tc>
          <w:tcPr/>
          <w:p>
            <w:pPr>
              <w:pStyle w:val="Compact"/>
              <w:jc w:val="left"/>
            </w:pPr>
            <w:r>
              <w:t xml:space="preserve">44 assets</w:t>
            </w:r>
          </w:p>
        </w:tc>
        <w:tc>
          <w:tcPr/>
          <w:p>
            <w:pPr>
              <w:pStyle w:val="Compact"/>
              <w:jc w:val="left"/>
            </w:pPr>
            <w:r>
              <w:t xml:space="preserve">185.00</w:t>
            </w:r>
          </w:p>
        </w:tc>
        <w:tc>
          <w:tcPr/>
          <w:p>
            <w:pPr>
              <w:pStyle w:val="Compact"/>
              <w:jc w:val="left"/>
            </w:pPr>
            <w:r>
              <w:t xml:space="preserve">8,140.00</w:t>
            </w:r>
          </w:p>
        </w:tc>
      </w:tr>
      <w:tr>
        <w:tc>
          <w:tcPr/>
          <w:p>
            <w:pPr>
              <w:pStyle w:val="Compact"/>
              <w:jc w:val="left"/>
            </w:pPr>
            <w:r>
              <w:t xml:space="preserve">3</w:t>
            </w:r>
          </w:p>
        </w:tc>
        <w:tc>
          <w:tcPr/>
          <w:p>
            <w:pPr>
              <w:pStyle w:val="Compact"/>
              <w:jc w:val="left"/>
            </w:pPr>
            <w:r>
              <w:rPr>
                <w:bCs/>
                <w:b/>
              </w:rPr>
              <w:t xml:space="preserve">Print Collateral Design</w:t>
            </w:r>
            <w:r>
              <w:t xml:space="preserve"> </w:t>
            </w:r>
            <w:r>
              <w:t xml:space="preserve">– Layout and production-ready artwork for A4 brochures (32 pages), business cards, letterhead, and presentation folders. Includes pre-press preparation, CMYK colour management, and printer liaison. All print design executed in Germany Berlin.</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UI/UX Visual Design</w:t>
            </w:r>
            <w:r>
              <w:t xml:space="preserve"> </w:t>
            </w:r>
            <w:r>
              <w:t xml:space="preserve">– Interface design for the client's new e-commerce platform, including 32 unique screen layouts, interactive prototype in Figma, and a complete design system with component library. The Graphic Designer collaborated directly with the development team in weekly sprints.</w:t>
            </w:r>
          </w:p>
        </w:tc>
        <w:tc>
          <w:tcPr/>
          <w:p>
            <w:pPr>
              <w:pStyle w:val="Compact"/>
              <w:jc w:val="left"/>
            </w:pPr>
            <w:r>
              <w:t xml:space="preserve">32 screens</w:t>
            </w:r>
          </w:p>
        </w:tc>
        <w:tc>
          <w:tcPr/>
          <w:p>
            <w:pPr>
              <w:pStyle w:val="Compact"/>
              <w:jc w:val="left"/>
            </w:pPr>
            <w:r>
              <w:t xml:space="preserve">320.00</w:t>
            </w:r>
          </w:p>
        </w:tc>
        <w:tc>
          <w:tcPr/>
          <w:p>
            <w:pPr>
              <w:pStyle w:val="Compact"/>
              <w:jc w:val="left"/>
            </w:pPr>
            <w:r>
              <w:t xml:space="preserve">10,240.00</w:t>
            </w:r>
          </w:p>
        </w:tc>
      </w:tr>
      <w:tr>
        <w:tc>
          <w:tcPr/>
          <w:p>
            <w:pPr>
              <w:pStyle w:val="Compact"/>
              <w:jc w:val="left"/>
            </w:pPr>
            <w:r>
              <w:t xml:space="preserve">5</w:t>
            </w:r>
          </w:p>
        </w:tc>
        <w:tc>
          <w:tcPr/>
          <w:p>
            <w:pPr>
              <w:pStyle w:val="Compact"/>
              <w:jc w:val="left"/>
            </w:pPr>
            <w:r>
              <w:rPr>
                <w:bCs/>
                <w:b/>
              </w:rPr>
              <w:t xml:space="preserve">Photography Art Direction &amp; Post-Production</w:t>
            </w:r>
            <w:r>
              <w:t xml:space="preserve"> </w:t>
            </w:r>
            <w:r>
              <w:t xml:space="preserve">– Creative direction for a 40-image product photography campaign, including mood boards, shot lists, on-site direction in Germany Berlin, and full post-production retouching in Adobe Photoshop and Lightroom.</w:t>
            </w:r>
          </w:p>
        </w:tc>
        <w:tc>
          <w:tcPr/>
          <w:p>
            <w:pPr>
              <w:pStyle w:val="Compact"/>
              <w:jc w:val="left"/>
            </w:pPr>
            <w:r>
              <w:t xml:space="preserve">40 images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6</w:t>
            </w:r>
          </w:p>
        </w:tc>
        <w:tc>
          <w:tcPr/>
          <w:p>
            <w:pPr>
              <w:pStyle w:val="Compact"/>
              <w:jc w:val="left"/>
            </w:pPr>
            <w:r>
              <w:rPr>
                <w:bCs/>
                <w:b/>
              </w:rPr>
              <w:t xml:space="preserve">Revisions &amp; Final Delivery</w:t>
            </w:r>
            <w:r>
              <w:t xml:space="preserve"> </w:t>
            </w:r>
            <w:r>
              <w:t xml:space="preserve">– Up to three rounds of revision on all deliverables, final file export in all required formats (AI, EPS, PDF, PNG, SVG, TIFF), and a structured handover session with the client's internal marketing team. Invoice includes all final delivery and licensing costs.</w:t>
            </w:r>
          </w:p>
        </w:tc>
        <w:tc>
          <w:tcPr/>
          <w:p>
            <w:pPr>
              <w:pStyle w:val="Compact"/>
              <w:jc w:val="left"/>
            </w:pPr>
            <w:r>
              <w:t xml:space="preserve">1 service</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31,680.00 EUR</w:t>
            </w:r>
          </w:p>
        </w:tc>
      </w:tr>
      <w:tr>
        <w:tc>
          <w:tcPr/>
          <w:p>
            <w:pPr>
              <w:pStyle w:val="Compact"/>
              <w:jc w:val="left"/>
            </w:pPr>
            <w:r>
              <w:t xml:space="preserve">VAT 19% (Umsatzsteuer)</w:t>
            </w:r>
          </w:p>
        </w:tc>
        <w:tc>
          <w:tcPr/>
          <w:p>
            <w:pPr>
              <w:pStyle w:val="Compact"/>
              <w:jc w:val="left"/>
            </w:pPr>
            <w:r>
              <w:t xml:space="preserve">6,019.20 EUR</w:t>
            </w:r>
          </w:p>
        </w:tc>
      </w:tr>
      <w:tr>
        <w:tc>
          <w:tcPr/>
          <w:p>
            <w:pPr>
              <w:pStyle w:val="Compact"/>
              <w:jc w:val="left"/>
            </w:pPr>
            <w:r>
              <w:t xml:space="preserve">Total Due (Brutto)</w:t>
            </w:r>
          </w:p>
        </w:tc>
        <w:tc>
          <w:tcPr/>
          <w:p>
            <w:pPr>
              <w:pStyle w:val="Compact"/>
              <w:jc w:val="left"/>
            </w:pPr>
            <w:r>
              <w:t xml:space="preserve">37,699.20 EUR</w:t>
            </w:r>
          </w:p>
        </w:tc>
      </w:tr>
    </w:tbl>
    <w:p>
      <w:pPr>
        <w:pStyle w:val="BodyText"/>
      </w:pPr>
      <w:r>
        <w:t xml:space="preserve">This Invoice is issued in accordance with German tax regulations (Umsatzsteuergesetz). The 19% VAT rate applies as the standard rate under § 12 UStG. The Graphic Designer services rendered are subject to full VAT as no reverse-charge mechanism applies for domestic transactions within Germany Berlin.</w:t>
      </w:r>
    </w:p>
    <w:bookmarkStart w:id="24" w:name="payment-instructions-zahlungsmodalitäten"/>
    <w:p>
      <w:pPr>
        <w:pStyle w:val="Heading3"/>
      </w:pPr>
      <w:r>
        <w:t xml:space="preserve">Payment Instructions (Zahlungsmodalitäten)</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Account Holder:</w:t>
      </w:r>
      <w:r>
        <w:t xml:space="preserve"> </w:t>
      </w:r>
      <w:r>
        <w:t xml:space="preserve">PixelCraft Studio GmbH</w:t>
      </w:r>
    </w:p>
    <w:p>
      <w:pPr>
        <w:pStyle w:val="BodyText"/>
      </w:pPr>
      <w:r>
        <w:rPr>
          <w:bCs/>
          <w:b/>
        </w:rPr>
        <w:t xml:space="preserve">Reference (Verwendungszweck):</w:t>
      </w:r>
      <w:r>
        <w:t xml:space="preserve"> </w:t>
      </w:r>
      <w:r>
        <w:t xml:space="preserve">Invoice PC-2025-0347 / BHS-2025-0091</w:t>
      </w:r>
    </w:p>
    <w:p>
      <w:pPr>
        <w:pStyle w:val="BodyText"/>
      </w:pPr>
      <w:r>
        <w:rPr>
          <w:bCs/>
          <w:b/>
        </w:rPr>
        <w:t xml:space="preserve">Payment Method:</w:t>
      </w:r>
      <w:r>
        <w:t xml:space="preserve"> </w:t>
      </w:r>
      <w:r>
        <w:t xml:space="preserve">SEPA Bank Transfer (preferred) or wire transfer</w:t>
      </w:r>
    </w:p>
    <w:p>
      <w:pPr>
        <w:pStyle w:val="BodyText"/>
      </w:pPr>
      <w:r>
        <w:rPr>
          <w:bCs/>
          <w:b/>
        </w:rPr>
        <w:t xml:space="preserve">Due Date:</w:t>
      </w:r>
      <w:r>
        <w:t xml:space="preserve"> </w:t>
      </w:r>
      <w:r>
        <w:t xml:space="preserve">30 June 2025 (14 days from issue date of this Invoice)</w:t>
      </w:r>
    </w:p>
    <w:bookmarkEnd w:id="24"/>
    <w:bookmarkStart w:id="25" w:name="terms-conditions-notes"/>
    <w:p>
      <w:pPr>
        <w:pStyle w:val="Heading3"/>
      </w:pPr>
      <w:r>
        <w:t xml:space="preserve">Terms, Conditions &amp; Notes</w:t>
      </w:r>
    </w:p>
    <w:p>
      <w:pPr>
        <w:pStyle w:val="FirstParagraph"/>
      </w:pPr>
      <w:r>
        <w:t xml:space="preserve">1. This Invoice constitutes the final and binding statement of all Graphic Designer services rendered by PixelCraft Studio GmbH for the project referenced above. All work was performed in Germany Berlin between 01 April 2025 and 30 May 2025.</w:t>
      </w:r>
    </w:p>
    <w:p>
      <w:pPr>
        <w:pStyle w:val="BodyText"/>
      </w:pPr>
      <w:r>
        <w:t xml:space="preserve">2. Payment is due within fourteen (14) calendar days of the Invoice issue date. In the event of late payment, interest at the statutory rate of 8 percentage points above the European Central Bank base rate (per § 288 BGB) shall apply automatically without further notice.</w:t>
      </w:r>
    </w:p>
    <w:p>
      <w:pPr>
        <w:pStyle w:val="BodyText"/>
      </w:pPr>
      <w:r>
        <w:t xml:space="preserve">3. All intellectual property rights to the final deliverables transfer to the client upon full and final payment of this Invoice. Until such payment is received, the Graphic Designer retains all copyright and reproduction rights under German copyright law (Urheberrechtsgesetz, UrhG).</w:t>
      </w:r>
    </w:p>
    <w:p>
      <w:pPr>
        <w:pStyle w:val="BodyText"/>
      </w:pPr>
      <w:r>
        <w:t xml:space="preserve">4. Source files (Adobe Illustrator, Figma, Photoshop) are included in the final delivery. Any additional revisions beyond the three included rounds will be billed at the Graphic Designer's standard hourly rate of 120 EUR per hour, plus applicable VAT.</w:t>
      </w:r>
    </w:p>
    <w:p>
      <w:pPr>
        <w:pStyle w:val="BodyText"/>
      </w:pPr>
      <w:r>
        <w:t xml:space="preserve">5. This Invoice is governed by the laws of the Federal Republic of Germany. Any disputes arising from this Invoice or the underlying service agreement shall be subject to the exclusive jurisdiction of the competent courts in Berlin, Germany.</w:t>
      </w:r>
    </w:p>
    <w:p>
      <w:pPr>
        <w:pStyle w:val="BodyText"/>
      </w:pPr>
      <w:r>
        <w:t xml:space="preserve">6. PixelCraft Studio GmbH is registered with the Berlin Chamber of Commerce (IHK Berlin) and is a member of the German Design Council (Deutscher Rat für Formgebung). All Graphic Designer work is performed in compliance with professional standards set by the Bundesverband Grafik-Design (BVG).</w:t>
      </w:r>
    </w:p>
    <w:p>
      <w:pPr>
        <w:pStyle w:val="BodyText"/>
      </w:pPr>
      <w:r>
        <w:t xml:space="preserve">7. Please retain this Invoice for your accounting records. In accordance with § 14 UStG, this document serves as the valid tax invoice (Rechnung) for VAT deduction purposes. For any queries regarding this Invoice, please contact our finance department at finance@pixelcraft-berlin.de or by phone at +49 30 5557 8821, Monday to Friday, 09:00–17:00 CET.</w:t>
      </w:r>
    </w:p>
    <w:bookmarkEnd w:id="25"/>
    <w:p>
      <w:pPr>
        <w:pStyle w:val="BodyText"/>
      </w:pPr>
      <w:r>
        <w:rPr>
          <w:bCs/>
          <w:b/>
        </w:rPr>
        <w:t xml:space="preserve">PixelCraft Studio GmbH</w:t>
      </w:r>
      <w:r>
        <w:t xml:space="preserve"> </w:t>
      </w:r>
      <w:r>
        <w:t xml:space="preserve">– Graphic Designer &amp; Visual Communication Agency</w:t>
      </w:r>
    </w:p>
    <w:p>
      <w:pPr>
        <w:pStyle w:val="BodyText"/>
      </w:pPr>
      <w:r>
        <w:t xml:space="preserve">Oranienstraße 142, 10999 Berlin, Germany | USt-IdNr.: DE315487921 | HRB 184523 B</w:t>
      </w:r>
    </w:p>
    <w:p>
      <w:pPr>
        <w:pStyle w:val="BodyText"/>
      </w:pPr>
      <w:r>
        <w:t xml:space="preserve">Managing Director: Jonas Weber | VAT Registration: Germany Berlin, Finanzamt Mitte</w:t>
      </w:r>
    </w:p>
    <w:p>
      <w:pPr>
        <w:pStyle w:val="BodyText"/>
      </w:pPr>
      <w:r>
        <w:t xml:space="preserve">This Invoice was generated electronically and is valid without a physical signature per § 14 Abs. 4 UStG.</w:t>
      </w:r>
    </w:p>
    <w:p>
      <w:pPr>
        <w:pStyle w:val="BodyText"/>
      </w:pPr>
      <w:r>
        <w:t xml:space="preserve">Thank you for your business. We look forward to continuing our creative partnership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Germany Berlin</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