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Graphic Designer Services — Malaysia Kuala Lumpur</w:t>
      </w:r>
    </w:p>
    <w:p>
      <w:pPr>
        <w:pStyle w:val="BodyText"/>
      </w:pPr>
      <w:r>
        <w:t xml:space="preserve">PAID — CONFIRMED</w:t>
      </w:r>
    </w:p>
    <w:bookmarkEnd w:id="20"/>
    <w:bookmarkStart w:id="21" w:name="pixelcraft-design-studio"/>
    <w:p>
      <w:pPr>
        <w:pStyle w:val="Heading3"/>
      </w:pPr>
      <w:r>
        <w:t xml:space="preserve">PixelCraft Design Studio</w:t>
      </w:r>
    </w:p>
    <w:p>
      <w:pPr>
        <w:pStyle w:val="FirstParagraph"/>
      </w:pPr>
      <w:r>
        <w:t xml:space="preserve">Level 12, Menara KLCC</w:t>
      </w:r>
    </w:p>
    <w:p>
      <w:pPr>
        <w:pStyle w:val="BodyText"/>
      </w:pPr>
      <w:r>
        <w:t xml:space="preserve">No. 12, Jalan P. Ramlee</w:t>
      </w:r>
    </w:p>
    <w:p>
      <w:pPr>
        <w:pStyle w:val="BodyText"/>
      </w:pPr>
      <w:r>
        <w:t xml:space="preserve">50110 Malaysia Kuala Lumpur</w:t>
      </w:r>
    </w:p>
    <w:p>
      <w:pPr>
        <w:pStyle w:val="BodyText"/>
      </w:pPr>
      <w:r>
        <w:t xml:space="preserve">Tel: +60 3-2181 4567</w:t>
      </w:r>
    </w:p>
    <w:p>
      <w:pPr>
        <w:pStyle w:val="BodyText"/>
      </w:pPr>
      <w:r>
        <w:t xml:space="preserve">Email: billing@pixelcraft.my</w:t>
      </w:r>
    </w:p>
    <w:p>
      <w:pPr>
        <w:pStyle w:val="BodyText"/>
      </w:pPr>
      <w:r>
        <w:t xml:space="preserve">SSM Reg: 201901045678</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INV-2025-KL-0347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
    <w:p>
      <w:pPr>
        <w:pStyle w:val="Heading4"/>
      </w:pPr>
      <w:r>
        <w:t xml:space="preserve">Billed To</w:t>
      </w:r>
    </w:p>
    <w:p>
      <w:pPr>
        <w:pStyle w:val="FirstParagraph"/>
      </w:pPr>
      <w:r>
        <w:rPr>
          <w:bCs/>
          <w:b/>
        </w:rPr>
        <w:t xml:space="preserve">Horizon Media Group Sdn. Bhd.</w:t>
      </w:r>
    </w:p>
    <w:p>
      <w:pPr>
        <w:pStyle w:val="BodyText"/>
      </w:pPr>
      <w:r>
        <w:t xml:space="preserve">Level 8, The Exchange TRX</w:t>
      </w:r>
    </w:p>
    <w:p>
      <w:pPr>
        <w:pStyle w:val="BodyText"/>
      </w:pPr>
      <w:r>
        <w:t xml:space="preserve">18 Jalan Tun Razak</w:t>
      </w:r>
    </w:p>
    <w:p>
      <w:pPr>
        <w:pStyle w:val="BodyText"/>
      </w:pPr>
      <w:r>
        <w:t xml:space="preserve">50400 Malaysia Kuala Lumpur</w:t>
      </w:r>
    </w:p>
    <w:p>
      <w:pPr>
        <w:pStyle w:val="BodyText"/>
      </w:pPr>
      <w:r>
        <w:t xml:space="preserve">Attn: Mr. Tan Wei Ming (Creative Director)</w:t>
      </w:r>
    </w:p>
    <w:p>
      <w:pPr>
        <w:pStyle w:val="BodyText"/>
      </w:pPr>
      <w:r>
        <w:t xml:space="preserve">Tel: +60 3-9200 8899</w:t>
      </w:r>
    </w:p>
    <w:bookmarkEnd w:id="23"/>
    <w:bookmarkStart w:id="24" w:name="service-provider"/>
    <w:p>
      <w:pPr>
        <w:pStyle w:val="Heading4"/>
      </w:pPr>
      <w:r>
        <w:t xml:space="preserve">Service Provider</w:t>
      </w:r>
    </w:p>
    <w:p>
      <w:pPr>
        <w:pStyle w:val="FirstParagraph"/>
      </w:pPr>
      <w:r>
        <w:rPr>
          <w:bCs/>
          <w:b/>
        </w:rPr>
        <w:t xml:space="preserve">Aisyah Rahman</w:t>
      </w:r>
    </w:p>
    <w:p>
      <w:pPr>
        <w:pStyle w:val="BodyText"/>
      </w:pPr>
      <w:r>
        <w:t xml:space="preserve">Senior Graphic Designer</w:t>
      </w:r>
    </w:p>
    <w:p>
      <w:pPr>
        <w:pStyle w:val="BodyText"/>
      </w:pPr>
      <w:r>
        <w:t xml:space="preserve">PixelCraft Design Studio</w:t>
      </w:r>
    </w:p>
    <w:p>
      <w:pPr>
        <w:pStyle w:val="BodyText"/>
      </w:pPr>
      <w:r>
        <w:t xml:space="preserve">Malaysia Kuala Lumpur</w:t>
      </w:r>
    </w:p>
    <w:p>
      <w:pPr>
        <w:pStyle w:val="BodyText"/>
      </w:pPr>
      <w:r>
        <w:t xml:space="preserve">IC: 920315-14-5521</w:t>
      </w:r>
    </w:p>
    <w:bookmarkEnd w:id="24"/>
    <w:bookmarkStart w:id="27" w:name="X78922fbdcc0e6ec337bf998fde3a87bd00cdae6"/>
    <w:p>
      <w:pPr>
        <w:pStyle w:val="Heading3"/>
      </w:pPr>
      <w:r>
        <w:t xml:space="preserve">Description of Graphic Designer Services Rendered</w:t>
      </w:r>
    </w:p>
    <w:p>
      <w:pPr>
        <w:pStyle w:val="FirstParagraph"/>
      </w:pPr>
      <w:r>
        <w:t xml:space="preserve">The following Invoice covers professional Graphic Designer services delivered by PixelCraft Design Studio, based in Malaysia Kuala Lumpur, for the period of 1 May 2025 to 14 June 2025. All design work was executed in accordance with the creative brief provided by Horizon Media Group Sdn. Bhd.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Brand Identity Redesign — Complete logo development, colour palette, typography system, and brand guidelines document for Horizon Media Group. Delivered by Senior Graphic Designer Aisyah Rahman in Malaysia Kuala Lumpur.</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Corporate Brochure Design — 16-page A4 tri-fold brochure layout, including copy integration, image editing, and print-ready PDF export. Graphic Designer services included three (3) rounds of revision.</w:t>
            </w:r>
          </w:p>
        </w:tc>
        <w:tc>
          <w:tcPr/>
          <w:p>
            <w:pPr>
              <w:pStyle w:val="Compact"/>
              <w:jc w:val="left"/>
            </w:pPr>
            <w:r>
              <w:t xml:space="preserve">12 May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Social Media Creative Package — Design of 24 unique social media posts (Instagram, Facebook, LinkedIn) for Q3 2025 campaign. All assets delivered in platform-specific dimensions by the Graphic Designer team in Malaysia Kuala Lumpur.</w:t>
            </w:r>
          </w:p>
        </w:tc>
        <w:tc>
          <w:tcPr/>
          <w:p>
            <w:pPr>
              <w:pStyle w:val="Compact"/>
              <w:jc w:val="left"/>
            </w:pPr>
            <w:r>
              <w:t xml:space="preserve">20 May 2025</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4</w:t>
            </w:r>
          </w:p>
        </w:tc>
        <w:tc>
          <w:tcPr/>
          <w:p>
            <w:pPr>
              <w:pStyle w:val="Compact"/>
              <w:jc w:val="left"/>
            </w:pPr>
            <w:r>
              <w:t xml:space="preserve">Trade Show Booth Graphics — Large-format banner design (3m x 2.5m), roll-up banner (0.8m x 2m), and backdrop panel for the Malaysia International Digital Expo 2025 held at MITEC, Malaysia Kuala Lumpur.</w:t>
            </w:r>
          </w:p>
        </w:tc>
        <w:tc>
          <w:tcPr/>
          <w:p>
            <w:pPr>
              <w:pStyle w:val="Compact"/>
              <w:jc w:val="left"/>
            </w:pPr>
            <w:r>
              <w:t xml:space="preserve">02 June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Business Card &amp; Stationery Suite — Design of premium business cards (front and back), letterhead, envelope, and email signature template. All files supplied in CMYK print-ready format by the Graphic Designer.</w:t>
            </w:r>
          </w:p>
        </w:tc>
        <w:tc>
          <w:tcPr/>
          <w:p>
            <w:pPr>
              <w:pStyle w:val="Compact"/>
              <w:jc w:val="left"/>
            </w:pPr>
            <w:r>
              <w:t xml:space="preserve">08 June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Urgent Presentation Deck Design — 32-slide investor presentation with custom infographics, data visualisation, and animated transitions. Expedited Graphic Designer turnaround of 48 hours, Malaysia Kuala Lumpur office.</w:t>
            </w:r>
          </w:p>
        </w:tc>
        <w:tc>
          <w:tcPr/>
          <w:p>
            <w:pPr>
              <w:pStyle w:val="Compact"/>
              <w:jc w:val="left"/>
            </w:pPr>
            <w:r>
              <w:t xml:space="preserve">14 June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25,120.00</w:t>
            </w:r>
          </w:p>
        </w:tc>
      </w:tr>
      <w:tr>
        <w:tc>
          <w:tcPr/>
          <w:p>
            <w:pPr>
              <w:pStyle w:val="Compact"/>
              <w:jc w:val="left"/>
            </w:pPr>
            <w:r>
              <w:t xml:space="preserve">SST (6%)</w:t>
            </w:r>
          </w:p>
        </w:tc>
        <w:tc>
          <w:tcPr/>
          <w:p>
            <w:pPr>
              <w:pStyle w:val="Compact"/>
              <w:jc w:val="left"/>
            </w:pPr>
            <w:r>
              <w:t xml:space="preserve">RM 1,507.20</w:t>
            </w:r>
          </w:p>
        </w:tc>
      </w:tr>
      <w:tr>
        <w:tc>
          <w:tcPr/>
          <w:p>
            <w:pPr>
              <w:pStyle w:val="Compact"/>
              <w:jc w:val="left"/>
            </w:pPr>
            <w:r>
              <w:t xml:space="preserve">Expedited Service Surcharge (Item 6)</w:t>
            </w:r>
          </w:p>
        </w:tc>
        <w:tc>
          <w:tcPr/>
          <w:p>
            <w:pPr>
              <w:pStyle w:val="Compact"/>
              <w:jc w:val="left"/>
            </w:pPr>
            <w:r>
              <w:t xml:space="preserve">RM 350.00</w:t>
            </w:r>
          </w:p>
        </w:tc>
      </w:tr>
      <w:tr>
        <w:tc>
          <w:tcPr/>
          <w:p>
            <w:pPr>
              <w:pStyle w:val="Compact"/>
              <w:jc w:val="left"/>
            </w:pPr>
            <w:r>
              <w:t xml:space="preserve">GRAND TOTAL (MYR)</w:t>
            </w:r>
          </w:p>
        </w:tc>
        <w:tc>
          <w:tcPr/>
          <w:p>
            <w:pPr>
              <w:pStyle w:val="Compact"/>
              <w:jc w:val="left"/>
            </w:pPr>
            <w:r>
              <w:t xml:space="preserve">RM 26,977.20</w:t>
            </w:r>
          </w:p>
        </w:tc>
      </w:tr>
    </w:tbl>
    <w:bookmarkStart w:id="25" w:name="payment-instructions-terms"/>
    <w:p>
      <w:pPr>
        <w:pStyle w:val="Heading4"/>
      </w:pPr>
      <w:r>
        <w:t xml:space="preserve">Payment Instructions &amp; Terms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PixelCraft Design Studio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MAYBMYKL</w:t>
      </w:r>
    </w:p>
    <w:p>
      <w:pPr>
        <w:pStyle w:val="BodyText"/>
      </w:pPr>
      <w:r>
        <w:rPr>
          <w:bCs/>
          <w:b/>
        </w:rPr>
        <w:t xml:space="preserve">Reference:</w:t>
      </w:r>
      <w:r>
        <w:t xml:space="preserve"> </w:t>
      </w:r>
      <w:r>
        <w:t xml:space="preserve">INV-2025-KL-0347</w:t>
      </w:r>
    </w:p>
    <w:p>
      <w:pPr>
        <w:pStyle w:val="BodyText"/>
      </w:pPr>
      <w:r>
        <w:t xml:space="preserve">Payment is due within fifteen (15) calendar days from the Invoice date. A late payment penalty of 2% per month will be applied to outstanding balances. Please ensure the Invoice reference number is included with all remittances. This Invoice is valid for 90 days from the date of issue. All amounts are stated in Malaysian Ringgit (MYR / RM) and are subject to the prevailing Sales and Service Tax (SST) rate as administered by the Inland Revenue Board of Malaysia (LHDN), Kuala Lumpur.</w:t>
      </w:r>
    </w:p>
    <w:bookmarkEnd w:id="25"/>
    <w:bookmarkStart w:id="26" w:name="additional-notes-terms-of-service"/>
    <w:p>
      <w:pPr>
        <w:pStyle w:val="Heading4"/>
      </w:pPr>
      <w:r>
        <w:t xml:space="preserve">Additional Notes &amp; Terms of Service</w:t>
      </w:r>
    </w:p>
    <w:p>
      <w:pPr>
        <w:pStyle w:val="FirstParagraph"/>
      </w:pPr>
      <w:r>
        <w:t xml:space="preserve">1. All Graphic Designer deliverables referenced in this Invoice have been approved in writing by the Creative Director of Horizon Media Group Sdn. Bhd. No further revisions beyond the agreed scope are included in this Invoice.</w:t>
      </w:r>
    </w:p>
    <w:p>
      <w:pPr>
        <w:pStyle w:val="BodyText"/>
      </w:pPr>
      <w:r>
        <w:t xml:space="preserve">2. Source files (Adobe Illustrator, Photoshop, InDesign) will be transferred via secure cloud link within five (5) business days of full payment receipt. Ownership of all final design assets transfers to the client upon clearance of this Invoice.</w:t>
      </w:r>
    </w:p>
    <w:p>
      <w:pPr>
        <w:pStyle w:val="BodyText"/>
      </w:pPr>
      <w:r>
        <w:t xml:space="preserve">3. PixelCraft Design Studio, operating from Malaysia Kuala Lumpur, reserves the right to display completed work in its portfolio and marketing materials unless a non-disclosure agreement is in place.</w:t>
      </w:r>
    </w:p>
    <w:p>
      <w:pPr>
        <w:pStyle w:val="BodyText"/>
      </w:pPr>
      <w:r>
        <w:t xml:space="preserve">4. This Invoice constitutes a legally binding document under the Contracts Act 1950 of Malaysia. Any disputes shall be resolved under the jurisdiction of the courts of Malaysia Kuala Lumpur.</w:t>
      </w:r>
    </w:p>
    <w:p>
      <w:pPr>
        <w:pStyle w:val="BodyText"/>
      </w:pPr>
      <w:r>
        <w:t xml:space="preserve">5. For queries regarding this Invoice or any Graphic Designer service, please contact our billing department at billing@pixelcraft.my or call +60 3-2181 4567 during business hours (Monday to Friday, 9:00 AM to 6:00 PM MYT).</w:t>
      </w:r>
    </w:p>
    <w:bookmarkEnd w:id="26"/>
    <w:p>
      <w:pPr>
        <w:pStyle w:val="BodyText"/>
      </w:pPr>
      <w:r>
        <w:t xml:space="preserve">Thank you for choosing PixelCraft Design Studio for your Graphic Designer needs in Malaysia Kuala Lumpur.</w:t>
      </w:r>
    </w:p>
    <w:p>
      <w:pPr>
        <w:pStyle w:val="BodyText"/>
      </w:pPr>
      <w:r>
        <w:t xml:space="preserve">This Invoice was generated electronically and does not require a physical signature. It is valid as a legal document under the Electronic Commerce Act 2006 (Malaysia).</w:t>
      </w:r>
    </w:p>
    <w:p>
      <w:pPr>
        <w:pStyle w:val="BodyText"/>
      </w:pPr>
      <w:r>
        <w:t xml:space="preserve">© 2025 PixelCraft Design Studio Sdn. Bhd. | Malaysia Kuala Lumpur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Malaysia Kuala Lumpur</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